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8995" w14:textId="77777777" w:rsidR="004B34B4" w:rsidRDefault="004B34B4" w:rsidP="007056BB"/>
    <w:p w14:paraId="5845752E" w14:textId="77777777" w:rsidR="00DF5BFD" w:rsidRDefault="00DF5BFD" w:rsidP="007056BB"/>
    <w:p w14:paraId="1C0F1673" w14:textId="03499002" w:rsidR="004B34B4" w:rsidRPr="004B34B4" w:rsidRDefault="004B34B4" w:rsidP="007056BB">
      <w:pPr>
        <w:rPr>
          <w:rFonts w:ascii="Arial" w:hAnsi="Arial" w:cs="Arial"/>
        </w:rPr>
      </w:pPr>
      <w:r w:rsidRPr="004B34B4">
        <w:rPr>
          <w:rFonts w:ascii="Arial" w:hAnsi="Arial" w:cs="Arial"/>
        </w:rPr>
        <w:t>January 16, 2025</w:t>
      </w:r>
    </w:p>
    <w:p w14:paraId="31B742DE" w14:textId="77777777" w:rsidR="004B34B4" w:rsidRPr="004B34B4" w:rsidRDefault="004B34B4" w:rsidP="007056BB">
      <w:pPr>
        <w:rPr>
          <w:rFonts w:ascii="Arial" w:hAnsi="Arial" w:cs="Arial"/>
        </w:rPr>
      </w:pPr>
    </w:p>
    <w:p w14:paraId="6261F357" w14:textId="4D6E6F6B" w:rsidR="004B34B4" w:rsidRPr="004B34B4" w:rsidRDefault="004B34B4" w:rsidP="007056BB">
      <w:pPr>
        <w:rPr>
          <w:rFonts w:ascii="Arial" w:hAnsi="Arial" w:cs="Arial"/>
        </w:rPr>
      </w:pPr>
      <w:r w:rsidRPr="004B34B4">
        <w:rPr>
          <w:rFonts w:ascii="Arial" w:hAnsi="Arial" w:cs="Arial"/>
        </w:rPr>
        <w:t>Sharon McGuinness, PhD</w:t>
      </w:r>
    </w:p>
    <w:p w14:paraId="64082B35" w14:textId="7CB0CBE8" w:rsidR="004B34B4" w:rsidRPr="004B34B4" w:rsidRDefault="004B34B4" w:rsidP="007056BB">
      <w:pPr>
        <w:rPr>
          <w:rFonts w:ascii="Arial" w:hAnsi="Arial" w:cs="Arial"/>
        </w:rPr>
      </w:pPr>
      <w:r w:rsidRPr="004B34B4">
        <w:rPr>
          <w:rFonts w:ascii="Arial" w:hAnsi="Arial" w:cs="Arial"/>
        </w:rPr>
        <w:t>Executive Director</w:t>
      </w:r>
    </w:p>
    <w:p w14:paraId="70203E7E" w14:textId="0CE7642B" w:rsidR="004B34B4" w:rsidRPr="004B34B4" w:rsidRDefault="004B34B4" w:rsidP="007056BB">
      <w:pPr>
        <w:rPr>
          <w:rFonts w:ascii="Arial" w:hAnsi="Arial" w:cs="Arial"/>
        </w:rPr>
      </w:pPr>
      <w:r w:rsidRPr="004B34B4">
        <w:rPr>
          <w:rFonts w:ascii="Arial" w:hAnsi="Arial" w:cs="Arial"/>
        </w:rPr>
        <w:t>European Chemicals Agency</w:t>
      </w:r>
    </w:p>
    <w:p w14:paraId="2AFE6120" w14:textId="77777777" w:rsidR="004B34B4" w:rsidRPr="004B34B4" w:rsidRDefault="004B34B4" w:rsidP="007056BB">
      <w:pPr>
        <w:rPr>
          <w:rFonts w:ascii="Arial" w:hAnsi="Arial" w:cs="Arial"/>
        </w:rPr>
      </w:pPr>
      <w:proofErr w:type="spellStart"/>
      <w:r w:rsidRPr="004B34B4">
        <w:rPr>
          <w:rFonts w:ascii="Arial" w:hAnsi="Arial" w:cs="Arial"/>
        </w:rPr>
        <w:t>Telakkakatu</w:t>
      </w:r>
      <w:proofErr w:type="spellEnd"/>
      <w:r w:rsidRPr="004B34B4">
        <w:rPr>
          <w:rFonts w:ascii="Arial" w:hAnsi="Arial" w:cs="Arial"/>
        </w:rPr>
        <w:t xml:space="preserve"> 6, P.O. Box 400 </w:t>
      </w:r>
      <w:r w:rsidRPr="004B34B4">
        <w:rPr>
          <w:rFonts w:ascii="Arial" w:hAnsi="Arial" w:cs="Arial"/>
        </w:rPr>
        <w:br/>
        <w:t xml:space="preserve">FI-00121 </w:t>
      </w:r>
    </w:p>
    <w:p w14:paraId="743D2F5B" w14:textId="62C14198" w:rsidR="004B34B4" w:rsidRPr="004B34B4" w:rsidRDefault="004B34B4" w:rsidP="007056BB">
      <w:pPr>
        <w:rPr>
          <w:rFonts w:ascii="Arial" w:hAnsi="Arial" w:cs="Arial"/>
        </w:rPr>
      </w:pPr>
      <w:r w:rsidRPr="004B34B4">
        <w:rPr>
          <w:rFonts w:ascii="Arial" w:hAnsi="Arial" w:cs="Arial"/>
        </w:rPr>
        <w:t>Helsinki, Finland</w:t>
      </w:r>
    </w:p>
    <w:p w14:paraId="007A38F8" w14:textId="77777777" w:rsidR="004B34B4" w:rsidRPr="004B34B4" w:rsidRDefault="004B34B4" w:rsidP="007056BB">
      <w:pPr>
        <w:rPr>
          <w:rFonts w:ascii="Arial" w:hAnsi="Arial" w:cs="Arial"/>
        </w:rPr>
      </w:pPr>
    </w:p>
    <w:p w14:paraId="633F641E" w14:textId="3873D636" w:rsidR="004B34B4" w:rsidRPr="004B34B4" w:rsidRDefault="004B34B4" w:rsidP="007056BB">
      <w:pPr>
        <w:rPr>
          <w:rFonts w:ascii="Arial" w:hAnsi="Arial" w:cs="Arial"/>
          <w:b/>
          <w:bCs/>
        </w:rPr>
      </w:pPr>
      <w:r w:rsidRPr="004B34B4">
        <w:rPr>
          <w:rFonts w:ascii="Arial" w:hAnsi="Arial" w:cs="Arial"/>
          <w:b/>
          <w:bCs/>
        </w:rPr>
        <w:t xml:space="preserve">Re: </w:t>
      </w:r>
      <w:r w:rsidR="00620B92">
        <w:rPr>
          <w:rFonts w:ascii="Arial" w:hAnsi="Arial" w:cs="Arial"/>
          <w:b/>
          <w:bCs/>
        </w:rPr>
        <w:t xml:space="preserve">Support for </w:t>
      </w:r>
      <w:r w:rsidR="00B504B3">
        <w:rPr>
          <w:rFonts w:ascii="Arial" w:hAnsi="Arial" w:cs="Arial"/>
          <w:b/>
          <w:bCs/>
        </w:rPr>
        <w:t>Mainta</w:t>
      </w:r>
      <w:r w:rsidR="00D82CAB">
        <w:rPr>
          <w:rFonts w:ascii="Arial" w:hAnsi="Arial" w:cs="Arial"/>
          <w:b/>
          <w:bCs/>
        </w:rPr>
        <w:t xml:space="preserve">ining </w:t>
      </w:r>
      <w:r w:rsidR="00D13E24">
        <w:rPr>
          <w:rFonts w:ascii="Arial" w:hAnsi="Arial" w:cs="Arial"/>
          <w:b/>
          <w:bCs/>
        </w:rPr>
        <w:t>Current</w:t>
      </w:r>
      <w:r w:rsidRPr="004B34B4">
        <w:rPr>
          <w:rFonts w:ascii="Arial" w:hAnsi="Arial" w:cs="Arial"/>
          <w:b/>
          <w:bCs/>
        </w:rPr>
        <w:t xml:space="preserve"> Classification and Labelling of Sodium Fluoride</w:t>
      </w:r>
      <w:r w:rsidR="005D65F0">
        <w:rPr>
          <w:rFonts w:ascii="Arial" w:hAnsi="Arial" w:cs="Arial"/>
          <w:b/>
          <w:bCs/>
        </w:rPr>
        <w:t xml:space="preserve"> (</w:t>
      </w:r>
      <w:r w:rsidR="005D65F0" w:rsidRPr="005D65F0">
        <w:rPr>
          <w:rFonts w:ascii="Arial" w:hAnsi="Arial" w:cs="Arial"/>
          <w:b/>
          <w:bCs/>
        </w:rPr>
        <w:t>EC 231-667-8; CAS 7681-49-4)</w:t>
      </w:r>
    </w:p>
    <w:p w14:paraId="7B0E5CEE" w14:textId="77777777" w:rsidR="004B34B4" w:rsidRPr="004B34B4" w:rsidRDefault="004B34B4" w:rsidP="007056BB">
      <w:pPr>
        <w:rPr>
          <w:rFonts w:ascii="Arial" w:hAnsi="Arial" w:cs="Arial"/>
        </w:rPr>
      </w:pPr>
    </w:p>
    <w:p w14:paraId="1008F7AE" w14:textId="03FB3B8C" w:rsidR="004B34B4" w:rsidRPr="004B34B4" w:rsidRDefault="004B34B4" w:rsidP="007056BB">
      <w:pPr>
        <w:rPr>
          <w:rFonts w:ascii="Arial" w:hAnsi="Arial" w:cs="Arial"/>
          <w:i/>
          <w:iCs/>
          <w:lang w:val="pt-BR"/>
        </w:rPr>
      </w:pPr>
      <w:r w:rsidRPr="004B34B4">
        <w:rPr>
          <w:rFonts w:ascii="Arial" w:hAnsi="Arial" w:cs="Arial"/>
          <w:i/>
          <w:iCs/>
          <w:lang w:val="pt-BR"/>
        </w:rPr>
        <w:t xml:space="preserve">via website: </w:t>
      </w:r>
      <w:hyperlink r:id="rId10" w:history="1">
        <w:r w:rsidR="008D6DCA" w:rsidRPr="00880839">
          <w:rPr>
            <w:rStyle w:val="Hyperlink"/>
            <w:rFonts w:ascii="Arial" w:hAnsi="Arial" w:cs="Arial"/>
            <w:i/>
            <w:iCs/>
            <w:lang w:val="pt-BR"/>
          </w:rPr>
          <w:t>https://echa.europa.eu/harmonised-classification-and-labelling-consultation/-/substance-rev/80601/term</w:t>
        </w:r>
      </w:hyperlink>
      <w:r w:rsidR="008D6DCA">
        <w:rPr>
          <w:rFonts w:ascii="Arial" w:hAnsi="Arial" w:cs="Arial"/>
          <w:i/>
          <w:iCs/>
          <w:lang w:val="pt-BR"/>
        </w:rPr>
        <w:t xml:space="preserve"> </w:t>
      </w:r>
    </w:p>
    <w:p w14:paraId="2C7AE72E" w14:textId="77777777" w:rsidR="0035430A" w:rsidRPr="004B34B4" w:rsidRDefault="0035430A" w:rsidP="007056BB">
      <w:pPr>
        <w:rPr>
          <w:rFonts w:ascii="Arial" w:hAnsi="Arial" w:cs="Arial"/>
          <w:lang w:val="pt-BR"/>
        </w:rPr>
      </w:pPr>
    </w:p>
    <w:p w14:paraId="32CB6494" w14:textId="32CB7478" w:rsidR="004B34B4" w:rsidRPr="003C1E79" w:rsidRDefault="004B34B4" w:rsidP="004B34B4">
      <w:pPr>
        <w:rPr>
          <w:rFonts w:ascii="Arial" w:hAnsi="Arial" w:cs="Arial"/>
        </w:rPr>
      </w:pPr>
      <w:r w:rsidRPr="003C1E79">
        <w:rPr>
          <w:rFonts w:ascii="Arial" w:hAnsi="Arial" w:cs="Arial"/>
        </w:rPr>
        <w:t>The International Association for Dental</w:t>
      </w:r>
      <w:r w:rsidR="00844D45">
        <w:rPr>
          <w:rFonts w:ascii="Arial" w:hAnsi="Arial" w:cs="Arial"/>
        </w:rPr>
        <w:t>, Oral, and Craniofacial</w:t>
      </w:r>
      <w:r w:rsidRPr="003C1E79">
        <w:rPr>
          <w:rFonts w:ascii="Arial" w:hAnsi="Arial" w:cs="Arial"/>
        </w:rPr>
        <w:t xml:space="preserve"> Research (IADR), which represents over 10,</w:t>
      </w:r>
      <w:r w:rsidR="00752658">
        <w:rPr>
          <w:rFonts w:ascii="Arial" w:hAnsi="Arial" w:cs="Arial"/>
        </w:rPr>
        <w:t>5</w:t>
      </w:r>
      <w:r w:rsidR="00752658" w:rsidRPr="003C1E79">
        <w:rPr>
          <w:rFonts w:ascii="Arial" w:hAnsi="Arial" w:cs="Arial"/>
        </w:rPr>
        <w:t xml:space="preserve">00 </w:t>
      </w:r>
      <w:r w:rsidRPr="003C1E79">
        <w:rPr>
          <w:rFonts w:ascii="Arial" w:hAnsi="Arial" w:cs="Arial"/>
        </w:rPr>
        <w:t xml:space="preserve">researchers around the world </w:t>
      </w:r>
      <w:r w:rsidR="005316F2">
        <w:rPr>
          <w:rFonts w:ascii="Arial" w:hAnsi="Arial" w:cs="Arial"/>
        </w:rPr>
        <w:t>whose</w:t>
      </w:r>
      <w:r w:rsidRPr="003C1E79">
        <w:rPr>
          <w:rFonts w:ascii="Arial" w:hAnsi="Arial" w:cs="Arial"/>
        </w:rPr>
        <w:t xml:space="preserve"> mission </w:t>
      </w:r>
      <w:r w:rsidR="005316F2">
        <w:rPr>
          <w:rFonts w:ascii="Arial" w:hAnsi="Arial" w:cs="Arial"/>
        </w:rPr>
        <w:t xml:space="preserve">is </w:t>
      </w:r>
      <w:r w:rsidRPr="003C1E79">
        <w:rPr>
          <w:rFonts w:ascii="Arial" w:hAnsi="Arial" w:cs="Arial"/>
        </w:rPr>
        <w:t>to drive dental, oral</w:t>
      </w:r>
      <w:r w:rsidR="00752658">
        <w:rPr>
          <w:rFonts w:ascii="Arial" w:hAnsi="Arial" w:cs="Arial"/>
        </w:rPr>
        <w:t>,</w:t>
      </w:r>
      <w:r w:rsidRPr="003C1E79">
        <w:rPr>
          <w:rFonts w:ascii="Arial" w:hAnsi="Arial" w:cs="Arial"/>
        </w:rPr>
        <w:t xml:space="preserve"> and craniofacial research for health and well-being worldwide, appreciates the opportunity to share our </w:t>
      </w:r>
      <w:r w:rsidR="009C26E2">
        <w:rPr>
          <w:rFonts w:ascii="Arial" w:hAnsi="Arial" w:cs="Arial"/>
        </w:rPr>
        <w:t>evidence-based perspectives</w:t>
      </w:r>
      <w:r w:rsidRPr="003C1E79">
        <w:rPr>
          <w:rFonts w:ascii="Arial" w:hAnsi="Arial" w:cs="Arial"/>
        </w:rPr>
        <w:t xml:space="preserve"> on the proposed </w:t>
      </w:r>
      <w:r w:rsidR="00E2229C">
        <w:rPr>
          <w:rFonts w:ascii="Arial" w:hAnsi="Arial" w:cs="Arial"/>
        </w:rPr>
        <w:t xml:space="preserve">harmonized </w:t>
      </w:r>
      <w:r w:rsidRPr="003C1E79">
        <w:rPr>
          <w:rFonts w:ascii="Arial" w:hAnsi="Arial" w:cs="Arial"/>
        </w:rPr>
        <w:t>classification and labelling (CLH) of sodium fluoride</w:t>
      </w:r>
      <w:r w:rsidR="00D03499">
        <w:rPr>
          <w:rFonts w:ascii="Arial" w:hAnsi="Arial" w:cs="Arial"/>
        </w:rPr>
        <w:t>.</w:t>
      </w:r>
      <w:r w:rsidRPr="003C1E79">
        <w:rPr>
          <w:rFonts w:ascii="Arial" w:hAnsi="Arial" w:cs="Arial"/>
        </w:rPr>
        <w:t xml:space="preserve"> </w:t>
      </w:r>
      <w:r w:rsidR="005D65F0" w:rsidRPr="003C1E79">
        <w:rPr>
          <w:rFonts w:ascii="Arial" w:hAnsi="Arial" w:cs="Arial"/>
        </w:rPr>
        <w:t>IADR supports rigorous, evidence-based chemicals regulation and transparent, methodologically sound</w:t>
      </w:r>
      <w:r w:rsidR="00A529E8">
        <w:rPr>
          <w:rFonts w:ascii="Arial" w:hAnsi="Arial" w:cs="Arial"/>
        </w:rPr>
        <w:t>,</w:t>
      </w:r>
      <w:r w:rsidR="005D65F0" w:rsidRPr="003C1E79">
        <w:rPr>
          <w:rFonts w:ascii="Arial" w:hAnsi="Arial" w:cs="Arial"/>
        </w:rPr>
        <w:t xml:space="preserve"> hazard classification</w:t>
      </w:r>
      <w:r w:rsidR="00593842">
        <w:rPr>
          <w:rFonts w:ascii="Arial" w:hAnsi="Arial" w:cs="Arial"/>
        </w:rPr>
        <w:t>,</w:t>
      </w:r>
      <w:r w:rsidR="00D03499">
        <w:rPr>
          <w:rFonts w:ascii="Arial" w:hAnsi="Arial" w:cs="Arial"/>
        </w:rPr>
        <w:t xml:space="preserve"> and </w:t>
      </w:r>
      <w:r w:rsidR="00D03499" w:rsidRPr="003C1E79">
        <w:rPr>
          <w:rFonts w:ascii="Arial" w:hAnsi="Arial" w:cs="Arial"/>
        </w:rPr>
        <w:t>applauds the European Chemicals Agency (ECHA) for considering the safety of sodium fluoride to be protective of public health and the environment</w:t>
      </w:r>
      <w:r w:rsidR="005D65F0" w:rsidRPr="003C1E79">
        <w:rPr>
          <w:rFonts w:ascii="Arial" w:hAnsi="Arial" w:cs="Arial"/>
        </w:rPr>
        <w:t xml:space="preserve">. </w:t>
      </w:r>
      <w:r w:rsidRPr="003C1E79">
        <w:rPr>
          <w:rFonts w:ascii="Arial" w:hAnsi="Arial" w:cs="Arial"/>
        </w:rPr>
        <w:t>To respond to this request for comments, IADR engaged its Science Information Committee</w:t>
      </w:r>
      <w:r w:rsidR="003C1E79" w:rsidRPr="003C1E79">
        <w:rPr>
          <w:rFonts w:ascii="Arial" w:hAnsi="Arial" w:cs="Arial"/>
        </w:rPr>
        <w:t>, toxicological experts within its membership,</w:t>
      </w:r>
      <w:r w:rsidRPr="003C1E79">
        <w:rPr>
          <w:rFonts w:ascii="Arial" w:hAnsi="Arial" w:cs="Arial"/>
        </w:rPr>
        <w:t xml:space="preserve"> and its Board of Directors. </w:t>
      </w:r>
    </w:p>
    <w:p w14:paraId="5FF42A42" w14:textId="77777777" w:rsidR="0035430A" w:rsidRPr="003C1E79" w:rsidRDefault="0035430A" w:rsidP="007056BB">
      <w:pPr>
        <w:rPr>
          <w:rFonts w:ascii="Arial" w:hAnsi="Arial" w:cs="Arial"/>
        </w:rPr>
      </w:pPr>
    </w:p>
    <w:p w14:paraId="784E3771" w14:textId="489B4E93" w:rsidR="00D6131D" w:rsidRPr="008D6DCA" w:rsidRDefault="005D65F0" w:rsidP="003C1E79">
      <w:pPr>
        <w:rPr>
          <w:rFonts w:ascii="Arial" w:hAnsi="Arial" w:cs="Arial"/>
          <w:b/>
          <w:bCs/>
          <w:u w:val="single"/>
        </w:rPr>
      </w:pPr>
      <w:r w:rsidRPr="003C1E79">
        <w:rPr>
          <w:rFonts w:ascii="Arial" w:hAnsi="Arial" w:cs="Arial"/>
        </w:rPr>
        <w:t xml:space="preserve">IADR is deeply concerned that </w:t>
      </w:r>
      <w:proofErr w:type="gramStart"/>
      <w:r w:rsidRPr="003C1E79">
        <w:rPr>
          <w:rFonts w:ascii="Arial" w:hAnsi="Arial" w:cs="Arial"/>
        </w:rPr>
        <w:t>the CLH’s</w:t>
      </w:r>
      <w:proofErr w:type="gramEnd"/>
      <w:r w:rsidRPr="003C1E79">
        <w:rPr>
          <w:rFonts w:ascii="Arial" w:hAnsi="Arial" w:cs="Arial"/>
        </w:rPr>
        <w:t xml:space="preserve"> key conclusions</w:t>
      </w:r>
      <w:r w:rsidR="00175489">
        <w:rPr>
          <w:rFonts w:ascii="Arial" w:hAnsi="Arial" w:cs="Arial"/>
        </w:rPr>
        <w:t xml:space="preserve"> - </w:t>
      </w:r>
      <w:r w:rsidRPr="003C1E79">
        <w:rPr>
          <w:rFonts w:ascii="Arial" w:hAnsi="Arial" w:cs="Arial"/>
        </w:rPr>
        <w:t xml:space="preserve">particularly on </w:t>
      </w:r>
      <w:r w:rsidR="005316F2">
        <w:rPr>
          <w:rFonts w:ascii="Arial" w:hAnsi="Arial" w:cs="Arial"/>
        </w:rPr>
        <w:t xml:space="preserve">the </w:t>
      </w:r>
      <w:r w:rsidR="00F648E8">
        <w:rPr>
          <w:rFonts w:ascii="Arial" w:hAnsi="Arial" w:cs="Arial"/>
        </w:rPr>
        <w:t xml:space="preserve">detrimental effects of sodium fluoride on </w:t>
      </w:r>
      <w:r w:rsidRPr="003C1E79">
        <w:rPr>
          <w:rFonts w:ascii="Arial" w:hAnsi="Arial" w:cs="Arial"/>
        </w:rPr>
        <w:t>developmental neurotoxicity/cognition</w:t>
      </w:r>
      <w:r w:rsidR="00397A78">
        <w:rPr>
          <w:rFonts w:ascii="Arial" w:hAnsi="Arial" w:cs="Arial"/>
        </w:rPr>
        <w:t>,</w:t>
      </w:r>
      <w:r w:rsidR="003F6809">
        <w:rPr>
          <w:rFonts w:ascii="Arial" w:hAnsi="Arial" w:cs="Arial"/>
        </w:rPr>
        <w:t xml:space="preserve"> reproductive toxicity, and</w:t>
      </w:r>
      <w:r w:rsidRPr="003C1E79">
        <w:rPr>
          <w:rFonts w:ascii="Arial" w:hAnsi="Arial" w:cs="Arial"/>
        </w:rPr>
        <w:t xml:space="preserve"> thyroid-mediated endocrine disruption</w:t>
      </w:r>
      <w:r w:rsidR="00D876EA">
        <w:rPr>
          <w:rFonts w:ascii="Arial" w:hAnsi="Arial" w:cs="Arial"/>
        </w:rPr>
        <w:t xml:space="preserve"> -</w:t>
      </w:r>
      <w:r w:rsidR="003F6809">
        <w:rPr>
          <w:rFonts w:ascii="Arial" w:hAnsi="Arial" w:cs="Arial"/>
        </w:rPr>
        <w:t xml:space="preserve"> </w:t>
      </w:r>
      <w:r w:rsidR="00F648E8" w:rsidRPr="00A0189B">
        <w:rPr>
          <w:rFonts w:ascii="Arial" w:hAnsi="Arial" w:cs="Arial"/>
          <w:b/>
          <w:bCs/>
        </w:rPr>
        <w:t xml:space="preserve">significantly </w:t>
      </w:r>
      <w:r w:rsidRPr="006D4ADA">
        <w:rPr>
          <w:rFonts w:ascii="Arial" w:hAnsi="Arial" w:cs="Arial"/>
          <w:b/>
          <w:bCs/>
        </w:rPr>
        <w:t xml:space="preserve">overstate </w:t>
      </w:r>
      <w:r w:rsidR="00F648E8">
        <w:rPr>
          <w:rFonts w:ascii="Arial" w:hAnsi="Arial" w:cs="Arial"/>
          <w:b/>
          <w:bCs/>
        </w:rPr>
        <w:t>this con</w:t>
      </w:r>
      <w:r w:rsidR="00A0189B">
        <w:rPr>
          <w:rFonts w:ascii="Arial" w:hAnsi="Arial" w:cs="Arial"/>
          <w:b/>
          <w:bCs/>
        </w:rPr>
        <w:t xml:space="preserve">clusion </w:t>
      </w:r>
      <w:r w:rsidRPr="006D4ADA">
        <w:rPr>
          <w:rFonts w:ascii="Arial" w:hAnsi="Arial" w:cs="Arial"/>
          <w:b/>
          <w:bCs/>
        </w:rPr>
        <w:t xml:space="preserve">given substantial </w:t>
      </w:r>
      <w:r w:rsidR="009A0F64">
        <w:rPr>
          <w:rFonts w:ascii="Arial" w:hAnsi="Arial" w:cs="Arial"/>
          <w:b/>
          <w:bCs/>
        </w:rPr>
        <w:t xml:space="preserve">methodological </w:t>
      </w:r>
      <w:r w:rsidRPr="006D4ADA">
        <w:rPr>
          <w:rFonts w:ascii="Arial" w:hAnsi="Arial" w:cs="Arial"/>
          <w:b/>
          <w:bCs/>
        </w:rPr>
        <w:t>limitations</w:t>
      </w:r>
      <w:r w:rsidR="009B7FE4">
        <w:rPr>
          <w:rFonts w:ascii="Arial" w:hAnsi="Arial" w:cs="Arial"/>
          <w:b/>
          <w:bCs/>
        </w:rPr>
        <w:t>, such as</w:t>
      </w:r>
      <w:r w:rsidRPr="006D4ADA">
        <w:rPr>
          <w:rFonts w:ascii="Arial" w:hAnsi="Arial" w:cs="Arial"/>
          <w:b/>
          <w:bCs/>
        </w:rPr>
        <w:t xml:space="preserve"> exposure assessment, confounding control</w:t>
      </w:r>
      <w:r w:rsidR="00A0189B">
        <w:rPr>
          <w:rFonts w:ascii="Arial" w:hAnsi="Arial" w:cs="Arial"/>
          <w:b/>
          <w:bCs/>
        </w:rPr>
        <w:t>s</w:t>
      </w:r>
      <w:r w:rsidRPr="006D4ADA">
        <w:rPr>
          <w:rFonts w:ascii="Arial" w:hAnsi="Arial" w:cs="Arial"/>
          <w:b/>
          <w:bCs/>
        </w:rPr>
        <w:t>, heterogeneity, and mechanistic coherence across the cited toxicological and epidemiological literature</w:t>
      </w:r>
      <w:r w:rsidRPr="003C1E79">
        <w:rPr>
          <w:rFonts w:ascii="Arial" w:hAnsi="Arial" w:cs="Arial"/>
        </w:rPr>
        <w:t xml:space="preserve">. </w:t>
      </w:r>
      <w:r w:rsidR="00A63EC7" w:rsidRPr="008D6DCA">
        <w:rPr>
          <w:rFonts w:ascii="Arial" w:hAnsi="Arial" w:cs="Arial"/>
          <w:b/>
          <w:bCs/>
          <w:u w:val="single"/>
        </w:rPr>
        <w:t xml:space="preserve">The </w:t>
      </w:r>
      <w:r w:rsidR="0046011B" w:rsidRPr="008D6DCA">
        <w:rPr>
          <w:rFonts w:ascii="Arial" w:hAnsi="Arial" w:cs="Arial"/>
          <w:b/>
          <w:bCs/>
          <w:u w:val="single"/>
        </w:rPr>
        <w:t xml:space="preserve">evidence presented in the </w:t>
      </w:r>
      <w:r w:rsidR="009D289C" w:rsidRPr="008D6DCA">
        <w:rPr>
          <w:rFonts w:ascii="Arial" w:hAnsi="Arial" w:cs="Arial"/>
          <w:b/>
          <w:bCs/>
          <w:u w:val="single"/>
        </w:rPr>
        <w:t xml:space="preserve">ANSES </w:t>
      </w:r>
      <w:r w:rsidR="00097DB2" w:rsidRPr="008D6DCA">
        <w:rPr>
          <w:rFonts w:ascii="Arial" w:hAnsi="Arial" w:cs="Arial"/>
          <w:b/>
          <w:bCs/>
          <w:u w:val="single"/>
        </w:rPr>
        <w:t xml:space="preserve">dossier does not support a change to the current </w:t>
      </w:r>
      <w:r w:rsidR="009030C5" w:rsidRPr="008D6DCA">
        <w:rPr>
          <w:rFonts w:ascii="Arial" w:hAnsi="Arial" w:cs="Arial"/>
          <w:b/>
          <w:bCs/>
          <w:u w:val="single"/>
        </w:rPr>
        <w:t>Annex VI</w:t>
      </w:r>
      <w:r w:rsidR="0046011B" w:rsidRPr="008D6DCA">
        <w:rPr>
          <w:rFonts w:ascii="Arial" w:hAnsi="Arial" w:cs="Arial"/>
          <w:b/>
          <w:bCs/>
          <w:u w:val="single"/>
        </w:rPr>
        <w:t xml:space="preserve"> </w:t>
      </w:r>
      <w:r w:rsidR="009D289C" w:rsidRPr="008D6DCA">
        <w:rPr>
          <w:rFonts w:ascii="Arial" w:hAnsi="Arial" w:cs="Arial"/>
          <w:b/>
          <w:bCs/>
          <w:u w:val="single"/>
        </w:rPr>
        <w:t xml:space="preserve">classification </w:t>
      </w:r>
      <w:r w:rsidR="00252731" w:rsidRPr="008D6DCA">
        <w:rPr>
          <w:rFonts w:ascii="Arial" w:hAnsi="Arial" w:cs="Arial"/>
          <w:b/>
          <w:bCs/>
          <w:u w:val="single"/>
        </w:rPr>
        <w:t xml:space="preserve">and labelling </w:t>
      </w:r>
      <w:r w:rsidR="0046011B" w:rsidRPr="008D6DCA">
        <w:rPr>
          <w:rFonts w:ascii="Arial" w:hAnsi="Arial" w:cs="Arial"/>
          <w:b/>
          <w:bCs/>
          <w:u w:val="single"/>
        </w:rPr>
        <w:t>entry for sodium fluoride.</w:t>
      </w:r>
    </w:p>
    <w:p w14:paraId="3B01C8C6" w14:textId="77777777" w:rsidR="00D6131D" w:rsidRDefault="00D6131D" w:rsidP="003C1E79">
      <w:pPr>
        <w:rPr>
          <w:rFonts w:ascii="Arial" w:hAnsi="Arial" w:cs="Arial"/>
        </w:rPr>
      </w:pPr>
    </w:p>
    <w:p w14:paraId="7328421E" w14:textId="3FCBEBE9" w:rsidR="003C1E79" w:rsidRDefault="004906ED" w:rsidP="003C1E79">
      <w:pPr>
        <w:rPr>
          <w:rFonts w:ascii="Arial" w:hAnsi="Arial" w:cs="Arial"/>
          <w:lang w:val="en-GB"/>
        </w:rPr>
      </w:pPr>
      <w:r>
        <w:rPr>
          <w:rFonts w:ascii="Arial" w:hAnsi="Arial" w:cs="Arial"/>
        </w:rPr>
        <w:t xml:space="preserve">The </w:t>
      </w:r>
      <w:r w:rsidR="00716FFA">
        <w:rPr>
          <w:rFonts w:ascii="Arial" w:hAnsi="Arial" w:cs="Arial"/>
          <w:lang w:val="en-GB"/>
        </w:rPr>
        <w:t>optimal</w:t>
      </w:r>
      <w:r>
        <w:rPr>
          <w:rFonts w:ascii="Arial" w:hAnsi="Arial" w:cs="Arial"/>
          <w:lang w:val="en-GB"/>
        </w:rPr>
        <w:t xml:space="preserve"> level of f</w:t>
      </w:r>
      <w:r w:rsidR="005D65F0" w:rsidRPr="003C1E79">
        <w:rPr>
          <w:rFonts w:ascii="Arial" w:hAnsi="Arial" w:cs="Arial"/>
          <w:lang w:val="en-GB"/>
        </w:rPr>
        <w:t>luoride has long been recognised by global health authorities, including the World Health Organization</w:t>
      </w:r>
      <w:r w:rsidR="003C1E79">
        <w:rPr>
          <w:rFonts w:ascii="Arial" w:hAnsi="Arial" w:cs="Arial"/>
          <w:lang w:val="en-GB"/>
        </w:rPr>
        <w:t xml:space="preserve"> (WHO)</w:t>
      </w:r>
      <w:r w:rsidR="005D65F0" w:rsidRPr="003C1E79">
        <w:rPr>
          <w:rFonts w:ascii="Arial" w:hAnsi="Arial" w:cs="Arial"/>
          <w:lang w:val="en-GB"/>
        </w:rPr>
        <w:t>, as the most effective and scientifically validated ingredient for preventin</w:t>
      </w:r>
      <w:r w:rsidR="009F6450">
        <w:rPr>
          <w:rFonts w:ascii="Arial" w:hAnsi="Arial" w:cs="Arial"/>
          <w:lang w:val="en-GB"/>
        </w:rPr>
        <w:t>g</w:t>
      </w:r>
      <w:r w:rsidR="005D65F0" w:rsidRPr="003C1E79">
        <w:rPr>
          <w:rFonts w:ascii="Arial" w:hAnsi="Arial" w:cs="Arial"/>
          <w:lang w:val="en-GB"/>
        </w:rPr>
        <w:t xml:space="preserve"> dental caries. </w:t>
      </w:r>
      <w:r w:rsidR="00B133EB">
        <w:rPr>
          <w:rFonts w:ascii="Arial" w:hAnsi="Arial" w:cs="Arial"/>
          <w:lang w:val="en-GB"/>
        </w:rPr>
        <w:t xml:space="preserve">Optimal levels of fluoride </w:t>
      </w:r>
      <w:r w:rsidR="00E21677">
        <w:rPr>
          <w:rFonts w:ascii="Arial" w:hAnsi="Arial" w:cs="Arial"/>
          <w:lang w:val="en-GB"/>
        </w:rPr>
        <w:t>are</w:t>
      </w:r>
      <w:r w:rsidR="00B133EB">
        <w:rPr>
          <w:rFonts w:ascii="Arial" w:hAnsi="Arial" w:cs="Arial"/>
          <w:lang w:val="en-GB"/>
        </w:rPr>
        <w:t xml:space="preserve"> added to public water supplies in some European countries </w:t>
      </w:r>
      <w:r w:rsidR="009F6450">
        <w:rPr>
          <w:rFonts w:ascii="Arial" w:hAnsi="Arial" w:cs="Arial"/>
          <w:lang w:val="en-GB"/>
        </w:rPr>
        <w:t>while</w:t>
      </w:r>
      <w:r w:rsidR="00F313A7">
        <w:rPr>
          <w:rFonts w:ascii="Arial" w:hAnsi="Arial" w:cs="Arial"/>
          <w:lang w:val="en-GB"/>
        </w:rPr>
        <w:t xml:space="preserve"> </w:t>
      </w:r>
      <w:r w:rsidR="00B133EB">
        <w:rPr>
          <w:rFonts w:ascii="Arial" w:hAnsi="Arial" w:cs="Arial"/>
          <w:lang w:val="en-GB"/>
        </w:rPr>
        <w:t>others add fluoride to salt</w:t>
      </w:r>
      <w:r w:rsidR="000A5340">
        <w:rPr>
          <w:rFonts w:ascii="Arial" w:hAnsi="Arial" w:cs="Arial"/>
          <w:lang w:val="en-GB"/>
        </w:rPr>
        <w:t xml:space="preserve"> or milk</w:t>
      </w:r>
      <w:r w:rsidR="00B133EB">
        <w:rPr>
          <w:rFonts w:ascii="Arial" w:hAnsi="Arial" w:cs="Arial"/>
          <w:lang w:val="en-GB"/>
        </w:rPr>
        <w:t xml:space="preserve">. </w:t>
      </w:r>
      <w:r w:rsidR="003C1E79" w:rsidRPr="003C1E79">
        <w:rPr>
          <w:rFonts w:ascii="Arial" w:hAnsi="Arial" w:cs="Arial"/>
          <w:lang w:val="en-GB"/>
        </w:rPr>
        <w:t>Fluoride toothpaste</w:t>
      </w:r>
      <w:r w:rsidR="006B51F6">
        <w:rPr>
          <w:rFonts w:ascii="Arial" w:hAnsi="Arial" w:cs="Arial"/>
          <w:lang w:val="en-GB"/>
        </w:rPr>
        <w:t xml:space="preserve"> and mouthwashes</w:t>
      </w:r>
      <w:r w:rsidR="004D4FA0">
        <w:rPr>
          <w:rFonts w:ascii="Arial" w:hAnsi="Arial" w:cs="Arial"/>
          <w:lang w:val="en-GB"/>
        </w:rPr>
        <w:t xml:space="preserve"> </w:t>
      </w:r>
      <w:r w:rsidR="003C1E79">
        <w:rPr>
          <w:rFonts w:ascii="Arial" w:hAnsi="Arial" w:cs="Arial"/>
          <w:lang w:val="en-GB"/>
        </w:rPr>
        <w:t>containing sodium fluoride</w:t>
      </w:r>
      <w:r w:rsidR="003C1E79" w:rsidRPr="003C1E79">
        <w:rPr>
          <w:rFonts w:ascii="Arial" w:hAnsi="Arial" w:cs="Arial"/>
          <w:lang w:val="en-GB"/>
        </w:rPr>
        <w:t xml:space="preserve"> </w:t>
      </w:r>
      <w:r w:rsidR="004D4FA0">
        <w:rPr>
          <w:rFonts w:ascii="Arial" w:hAnsi="Arial" w:cs="Arial"/>
          <w:lang w:val="en-GB"/>
        </w:rPr>
        <w:t>are</w:t>
      </w:r>
      <w:r w:rsidR="003C1E79" w:rsidRPr="003C1E79">
        <w:rPr>
          <w:rFonts w:ascii="Arial" w:hAnsi="Arial" w:cs="Arial"/>
          <w:lang w:val="en-GB"/>
        </w:rPr>
        <w:t xml:space="preserve"> included </w:t>
      </w:r>
      <w:r w:rsidR="00D860E6">
        <w:rPr>
          <w:rFonts w:ascii="Arial" w:hAnsi="Arial" w:cs="Arial"/>
          <w:lang w:val="en-GB"/>
        </w:rPr>
        <w:t>o</w:t>
      </w:r>
      <w:r w:rsidR="003C1E79" w:rsidRPr="003C1E79">
        <w:rPr>
          <w:rFonts w:ascii="Arial" w:hAnsi="Arial" w:cs="Arial"/>
          <w:lang w:val="en-GB"/>
        </w:rPr>
        <w:t xml:space="preserve">n the WHO Model List of Essential Medicines, underscoring its proven cost-effectiveness, </w:t>
      </w:r>
      <w:r w:rsidR="003C1E79" w:rsidRPr="003C1E79">
        <w:rPr>
          <w:rFonts w:ascii="Arial" w:hAnsi="Arial" w:cs="Arial"/>
          <w:lang w:val="en-GB"/>
        </w:rPr>
        <w:lastRenderedPageBreak/>
        <w:t xml:space="preserve">safety, and role in reducing health inequalities. </w:t>
      </w:r>
      <w:r w:rsidR="008A6E67" w:rsidRPr="008A6E67">
        <w:rPr>
          <w:rFonts w:ascii="Arial" w:hAnsi="Arial" w:cs="Arial"/>
          <w:lang w:val="en-GB"/>
        </w:rPr>
        <w:t>The WHO Global Oral Health Action Plan 2023–2030 identifies oral diseases</w:t>
      </w:r>
      <w:r w:rsidR="00175BF4">
        <w:rPr>
          <w:rFonts w:ascii="Arial" w:hAnsi="Arial" w:cs="Arial"/>
          <w:lang w:val="en-GB"/>
        </w:rPr>
        <w:t xml:space="preserve"> </w:t>
      </w:r>
      <w:r w:rsidR="008A6E67" w:rsidRPr="008A6E67">
        <w:rPr>
          <w:rFonts w:ascii="Arial" w:hAnsi="Arial" w:cs="Arial"/>
          <w:lang w:val="en-GB"/>
        </w:rPr>
        <w:t>as among the most prevalent noncommunicable diseases worldwide</w:t>
      </w:r>
      <w:r w:rsidR="000D504A">
        <w:rPr>
          <w:rFonts w:ascii="Arial" w:hAnsi="Arial" w:cs="Arial"/>
          <w:lang w:val="en-GB"/>
        </w:rPr>
        <w:t>,</w:t>
      </w:r>
      <w:r w:rsidR="008A6E67" w:rsidRPr="008A6E67">
        <w:rPr>
          <w:rFonts w:ascii="Arial" w:hAnsi="Arial" w:cs="Arial"/>
          <w:lang w:val="en-GB"/>
        </w:rPr>
        <w:t xml:space="preserve"> and highlights the use of fluoride (in toothpaste, mouth rinses, and community water fluoridation) as a cornerstone strategy for global oral health promotion. </w:t>
      </w:r>
      <w:r w:rsidR="003C1E79" w:rsidRPr="003C1E79">
        <w:rPr>
          <w:rFonts w:ascii="Arial" w:hAnsi="Arial" w:cs="Arial"/>
          <w:lang w:val="en-GB"/>
        </w:rPr>
        <w:t xml:space="preserve">The WHO further calls on all Member States to ensure universal access to affordable fluoridated </w:t>
      </w:r>
      <w:r w:rsidR="00C80002">
        <w:rPr>
          <w:rFonts w:ascii="Arial" w:hAnsi="Arial" w:cs="Arial"/>
          <w:lang w:val="en-GB"/>
        </w:rPr>
        <w:t>oral care</w:t>
      </w:r>
      <w:r w:rsidR="003C1E79" w:rsidRPr="003C1E79">
        <w:rPr>
          <w:rFonts w:ascii="Arial" w:hAnsi="Arial" w:cs="Arial"/>
          <w:lang w:val="en-GB"/>
        </w:rPr>
        <w:t xml:space="preserve"> as part of essential primary oral healthcare. </w:t>
      </w:r>
    </w:p>
    <w:p w14:paraId="331BD604" w14:textId="77777777" w:rsidR="00DC29FF" w:rsidRPr="003C1E79" w:rsidRDefault="00DC29FF" w:rsidP="003C1E79">
      <w:pPr>
        <w:rPr>
          <w:rFonts w:ascii="Arial" w:hAnsi="Arial" w:cs="Arial"/>
        </w:rPr>
      </w:pPr>
    </w:p>
    <w:p w14:paraId="00503EFA" w14:textId="2C88A418" w:rsidR="005A53E6" w:rsidRDefault="0089334A" w:rsidP="005A53E6">
      <w:pPr>
        <w:spacing w:after="160" w:line="259" w:lineRule="auto"/>
        <w:rPr>
          <w:rFonts w:ascii="Arial" w:hAnsi="Arial" w:cs="Arial"/>
        </w:rPr>
      </w:pPr>
      <w:r>
        <w:rPr>
          <w:rFonts w:ascii="Arial" w:hAnsi="Arial" w:cs="Arial"/>
        </w:rPr>
        <w:t xml:space="preserve">The </w:t>
      </w:r>
      <w:r w:rsidR="005A53E6" w:rsidRPr="00E407B6">
        <w:rPr>
          <w:rFonts w:ascii="Arial" w:hAnsi="Arial" w:cs="Arial"/>
        </w:rPr>
        <w:t xml:space="preserve">WHO has concluded that </w:t>
      </w:r>
      <w:r w:rsidR="005A53E6">
        <w:rPr>
          <w:rFonts w:ascii="Arial" w:hAnsi="Arial" w:cs="Arial"/>
        </w:rPr>
        <w:t>“</w:t>
      </w:r>
      <w:r w:rsidR="005A53E6" w:rsidRPr="00E407B6">
        <w:rPr>
          <w:rFonts w:ascii="Arial" w:hAnsi="Arial" w:cs="Arial"/>
          <w:b/>
          <w:bCs/>
        </w:rPr>
        <w:t>the weight of evidence does not support fluoride as a cause of cancer in humans</w:t>
      </w:r>
      <w:r w:rsidR="005A53E6">
        <w:rPr>
          <w:rFonts w:ascii="Arial" w:hAnsi="Arial" w:cs="Arial"/>
          <w:b/>
          <w:bCs/>
        </w:rPr>
        <w:t>”</w:t>
      </w:r>
      <w:r w:rsidR="005A53E6" w:rsidRPr="00E407B6">
        <w:rPr>
          <w:rFonts w:ascii="Arial" w:hAnsi="Arial" w:cs="Arial"/>
          <w:b/>
          <w:bCs/>
        </w:rPr>
        <w:t xml:space="preserve"> </w:t>
      </w:r>
      <w:r w:rsidR="005A53E6" w:rsidRPr="00E407B6">
        <w:rPr>
          <w:rFonts w:ascii="Arial" w:hAnsi="Arial" w:cs="Arial"/>
        </w:rPr>
        <w:t>and that</w:t>
      </w:r>
      <w:r w:rsidR="005A53E6" w:rsidRPr="00E407B6">
        <w:rPr>
          <w:rFonts w:ascii="Arial" w:hAnsi="Arial" w:cs="Arial"/>
          <w:b/>
          <w:bCs/>
        </w:rPr>
        <w:t xml:space="preserve"> </w:t>
      </w:r>
      <w:r w:rsidR="005A53E6">
        <w:rPr>
          <w:rFonts w:ascii="Arial" w:hAnsi="Arial" w:cs="Arial"/>
          <w:b/>
          <w:bCs/>
        </w:rPr>
        <w:t>“</w:t>
      </w:r>
      <w:r w:rsidR="005A53E6" w:rsidRPr="00E407B6">
        <w:rPr>
          <w:rFonts w:ascii="Arial" w:hAnsi="Arial" w:cs="Arial"/>
          <w:b/>
          <w:bCs/>
        </w:rPr>
        <w:t xml:space="preserve">pregnancy-outcome studies </w:t>
      </w:r>
      <w:r w:rsidR="005A53E6">
        <w:rPr>
          <w:rFonts w:ascii="Arial" w:hAnsi="Arial" w:cs="Arial"/>
          <w:b/>
          <w:bCs/>
        </w:rPr>
        <w:t>indicate</w:t>
      </w:r>
      <w:r w:rsidR="005A53E6" w:rsidRPr="00E407B6">
        <w:rPr>
          <w:rFonts w:ascii="Arial" w:hAnsi="Arial" w:cs="Arial"/>
          <w:b/>
          <w:bCs/>
        </w:rPr>
        <w:t xml:space="preserve"> no apparent relationship </w:t>
      </w:r>
      <w:r w:rsidR="005A53E6">
        <w:rPr>
          <w:rFonts w:ascii="Arial" w:hAnsi="Arial" w:cs="Arial"/>
          <w:b/>
          <w:bCs/>
        </w:rPr>
        <w:t xml:space="preserve">the rates of Down syndrome or </w:t>
      </w:r>
      <w:r w:rsidR="005A53E6" w:rsidRPr="00E407B6">
        <w:rPr>
          <w:rFonts w:ascii="Arial" w:hAnsi="Arial" w:cs="Arial"/>
          <w:b/>
          <w:bCs/>
        </w:rPr>
        <w:t>congenital malformations</w:t>
      </w:r>
      <w:r w:rsidR="005A53E6">
        <w:rPr>
          <w:rFonts w:ascii="Arial" w:hAnsi="Arial" w:cs="Arial"/>
          <w:b/>
          <w:bCs/>
        </w:rPr>
        <w:t xml:space="preserve"> </w:t>
      </w:r>
      <w:r w:rsidR="005A53E6" w:rsidRPr="00E407B6">
        <w:rPr>
          <w:rFonts w:ascii="Arial" w:hAnsi="Arial" w:cs="Arial"/>
          <w:b/>
          <w:bCs/>
        </w:rPr>
        <w:t>a</w:t>
      </w:r>
      <w:r w:rsidR="005A53E6">
        <w:rPr>
          <w:rFonts w:ascii="Arial" w:hAnsi="Arial" w:cs="Arial"/>
          <w:b/>
          <w:bCs/>
        </w:rPr>
        <w:t xml:space="preserve">nd the consumption of fluoridated drinking water” </w:t>
      </w:r>
      <w:r w:rsidR="005A53E6">
        <w:rPr>
          <w:rFonts w:ascii="Arial" w:hAnsi="Arial" w:cs="Arial"/>
        </w:rPr>
        <w:t>(WHO 2004 and 202</w:t>
      </w:r>
      <w:r w:rsidR="002B35E5">
        <w:rPr>
          <w:rFonts w:ascii="Arial" w:hAnsi="Arial" w:cs="Arial"/>
        </w:rPr>
        <w:t>2</w:t>
      </w:r>
      <w:r w:rsidR="005A53E6">
        <w:rPr>
          <w:rFonts w:ascii="Arial" w:hAnsi="Arial" w:cs="Arial"/>
        </w:rPr>
        <w:t>)</w:t>
      </w:r>
      <w:r w:rsidR="00133A51">
        <w:rPr>
          <w:rFonts w:ascii="Arial" w:hAnsi="Arial" w:cs="Arial"/>
        </w:rPr>
        <w:t>.  In concur</w:t>
      </w:r>
      <w:r w:rsidR="00590034">
        <w:rPr>
          <w:rFonts w:ascii="Arial" w:hAnsi="Arial" w:cs="Arial"/>
        </w:rPr>
        <w:t>re</w:t>
      </w:r>
      <w:r w:rsidR="00133A51">
        <w:rPr>
          <w:rFonts w:ascii="Arial" w:hAnsi="Arial" w:cs="Arial"/>
        </w:rPr>
        <w:t xml:space="preserve">nce, </w:t>
      </w:r>
      <w:r>
        <w:rPr>
          <w:rFonts w:ascii="Arial" w:hAnsi="Arial" w:cs="Arial"/>
        </w:rPr>
        <w:t xml:space="preserve">the </w:t>
      </w:r>
      <w:r w:rsidR="00356734">
        <w:rPr>
          <w:rFonts w:ascii="Arial" w:hAnsi="Arial" w:cs="Arial"/>
        </w:rPr>
        <w:t xml:space="preserve">individual </w:t>
      </w:r>
      <w:r w:rsidR="00DC6F21">
        <w:rPr>
          <w:rFonts w:ascii="Arial" w:hAnsi="Arial" w:cs="Arial"/>
        </w:rPr>
        <w:t>M</w:t>
      </w:r>
      <w:r w:rsidR="00356734">
        <w:rPr>
          <w:rFonts w:ascii="Arial" w:hAnsi="Arial" w:cs="Arial"/>
        </w:rPr>
        <w:t xml:space="preserve">ember </w:t>
      </w:r>
      <w:r w:rsidR="00DC6F21">
        <w:rPr>
          <w:rFonts w:ascii="Arial" w:hAnsi="Arial" w:cs="Arial"/>
        </w:rPr>
        <w:t>S</w:t>
      </w:r>
      <w:r w:rsidR="00356734">
        <w:rPr>
          <w:rFonts w:ascii="Arial" w:hAnsi="Arial" w:cs="Arial"/>
        </w:rPr>
        <w:t xml:space="preserve">tates across </w:t>
      </w:r>
      <w:r w:rsidR="00590034">
        <w:rPr>
          <w:rFonts w:ascii="Arial" w:hAnsi="Arial" w:cs="Arial"/>
        </w:rPr>
        <w:t>the globe</w:t>
      </w:r>
      <w:r w:rsidR="00356734">
        <w:rPr>
          <w:rFonts w:ascii="Arial" w:hAnsi="Arial" w:cs="Arial"/>
        </w:rPr>
        <w:t xml:space="preserve"> </w:t>
      </w:r>
      <w:r w:rsidRPr="00E407B6">
        <w:rPr>
          <w:rFonts w:ascii="Arial" w:hAnsi="Arial" w:cs="Arial"/>
        </w:rPr>
        <w:t>ha</w:t>
      </w:r>
      <w:r w:rsidR="00356734">
        <w:rPr>
          <w:rFonts w:ascii="Arial" w:hAnsi="Arial" w:cs="Arial"/>
        </w:rPr>
        <w:t>ve</w:t>
      </w:r>
      <w:r w:rsidRPr="00E407B6">
        <w:rPr>
          <w:rFonts w:ascii="Arial" w:hAnsi="Arial" w:cs="Arial"/>
        </w:rPr>
        <w:t xml:space="preserve"> concluded that expert panels </w:t>
      </w:r>
      <w:r w:rsidRPr="00E407B6">
        <w:rPr>
          <w:rFonts w:ascii="Arial" w:hAnsi="Arial" w:cs="Arial"/>
          <w:b/>
          <w:bCs/>
        </w:rPr>
        <w:t>“have not found convincing scientific evidence linking community water fluoridation with systemic disorders such as increased cancer risk or low intelligence</w:t>
      </w:r>
      <w:r>
        <w:rPr>
          <w:rFonts w:ascii="Arial" w:hAnsi="Arial" w:cs="Arial"/>
          <w:b/>
          <w:bCs/>
        </w:rPr>
        <w:t xml:space="preserve">” </w:t>
      </w:r>
      <w:r w:rsidRPr="00E407B6">
        <w:rPr>
          <w:rFonts w:ascii="Arial" w:hAnsi="Arial" w:cs="Arial"/>
        </w:rPr>
        <w:t>(US CDC, 2024)</w:t>
      </w:r>
      <w:r>
        <w:rPr>
          <w:rFonts w:ascii="Arial" w:hAnsi="Arial" w:cs="Arial"/>
        </w:rPr>
        <w:t xml:space="preserve">. </w:t>
      </w:r>
    </w:p>
    <w:p w14:paraId="2880ACE0" w14:textId="5B7102F5" w:rsidR="004D4D70" w:rsidRDefault="00AA3C9D" w:rsidP="00ED4E90">
      <w:pPr>
        <w:spacing w:line="259" w:lineRule="auto"/>
        <w:rPr>
          <w:rFonts w:ascii="Arial" w:hAnsi="Arial" w:cs="Arial"/>
          <w:lang w:val="en-GB"/>
        </w:rPr>
      </w:pPr>
      <w:r>
        <w:rPr>
          <w:rFonts w:ascii="Arial" w:hAnsi="Arial" w:cs="Arial"/>
          <w:lang w:val="en-GB"/>
        </w:rPr>
        <w:t xml:space="preserve">Given the </w:t>
      </w:r>
      <w:r w:rsidR="00B133EB">
        <w:rPr>
          <w:rFonts w:ascii="Arial" w:hAnsi="Arial" w:cs="Arial"/>
          <w:lang w:val="en-GB"/>
        </w:rPr>
        <w:t xml:space="preserve">proven </w:t>
      </w:r>
      <w:r>
        <w:rPr>
          <w:rFonts w:ascii="Arial" w:hAnsi="Arial" w:cs="Arial"/>
          <w:lang w:val="en-GB"/>
        </w:rPr>
        <w:t>importance of fluoride in water systems</w:t>
      </w:r>
      <w:r w:rsidR="00B133EB">
        <w:rPr>
          <w:rFonts w:ascii="Arial" w:hAnsi="Arial" w:cs="Arial"/>
          <w:lang w:val="en-GB"/>
        </w:rPr>
        <w:t xml:space="preserve">, fluoridated salt </w:t>
      </w:r>
      <w:r w:rsidR="00054A34">
        <w:rPr>
          <w:rFonts w:ascii="Arial" w:hAnsi="Arial" w:cs="Arial"/>
          <w:lang w:val="en-GB"/>
        </w:rPr>
        <w:t xml:space="preserve">or milk </w:t>
      </w:r>
      <w:r w:rsidR="00B133EB">
        <w:rPr>
          <w:rFonts w:ascii="Arial" w:hAnsi="Arial" w:cs="Arial"/>
          <w:lang w:val="en-GB"/>
        </w:rPr>
        <w:t>schemes,</w:t>
      </w:r>
      <w:r>
        <w:rPr>
          <w:rFonts w:ascii="Arial" w:hAnsi="Arial" w:cs="Arial"/>
          <w:lang w:val="en-GB"/>
        </w:rPr>
        <w:t xml:space="preserve"> fluoridated toothpaste</w:t>
      </w:r>
      <w:r w:rsidR="00CF4ABA">
        <w:rPr>
          <w:rFonts w:ascii="Arial" w:hAnsi="Arial" w:cs="Arial"/>
          <w:lang w:val="en-GB"/>
        </w:rPr>
        <w:t xml:space="preserve"> and mouthwash</w:t>
      </w:r>
      <w:r w:rsidR="0062235E">
        <w:rPr>
          <w:rFonts w:ascii="Arial" w:hAnsi="Arial" w:cs="Arial"/>
          <w:lang w:val="en-GB"/>
        </w:rPr>
        <w:t>,</w:t>
      </w:r>
      <w:r>
        <w:rPr>
          <w:rFonts w:ascii="Arial" w:hAnsi="Arial" w:cs="Arial"/>
          <w:lang w:val="en-GB"/>
        </w:rPr>
        <w:t xml:space="preserve"> to </w:t>
      </w:r>
      <w:r w:rsidR="00B133EB">
        <w:rPr>
          <w:rFonts w:ascii="Arial" w:hAnsi="Arial" w:cs="Arial"/>
          <w:lang w:val="en-GB"/>
        </w:rPr>
        <w:t>prevent dental caries</w:t>
      </w:r>
      <w:r>
        <w:rPr>
          <w:rFonts w:ascii="Arial" w:hAnsi="Arial" w:cs="Arial"/>
          <w:lang w:val="en-GB"/>
        </w:rPr>
        <w:t>, an</w:t>
      </w:r>
      <w:r w:rsidR="00B133EB">
        <w:rPr>
          <w:rFonts w:ascii="Arial" w:hAnsi="Arial" w:cs="Arial"/>
          <w:lang w:val="en-GB"/>
        </w:rPr>
        <w:t>y</w:t>
      </w:r>
      <w:r>
        <w:rPr>
          <w:rFonts w:ascii="Arial" w:hAnsi="Arial" w:cs="Arial"/>
          <w:lang w:val="en-GB"/>
        </w:rPr>
        <w:t xml:space="preserve"> reclassification of sodium fluoride as a reproductive toxin and/or endocrine disrupter will have serious consequences for the oral </w:t>
      </w:r>
      <w:r w:rsidR="00CD10C4">
        <w:rPr>
          <w:rFonts w:ascii="Arial" w:hAnsi="Arial" w:cs="Arial"/>
          <w:lang w:val="en-GB"/>
        </w:rPr>
        <w:t xml:space="preserve">and systemic </w:t>
      </w:r>
      <w:r>
        <w:rPr>
          <w:rFonts w:ascii="Arial" w:hAnsi="Arial" w:cs="Arial"/>
          <w:lang w:val="en-GB"/>
        </w:rPr>
        <w:t xml:space="preserve">health of </w:t>
      </w:r>
      <w:r w:rsidR="00CD10C4">
        <w:rPr>
          <w:rFonts w:ascii="Arial" w:hAnsi="Arial" w:cs="Arial"/>
          <w:lang w:val="en-GB"/>
        </w:rPr>
        <w:t xml:space="preserve">global </w:t>
      </w:r>
      <w:r>
        <w:rPr>
          <w:rFonts w:ascii="Arial" w:hAnsi="Arial" w:cs="Arial"/>
          <w:lang w:val="en-GB"/>
        </w:rPr>
        <w:t xml:space="preserve">populations. </w:t>
      </w:r>
      <w:r w:rsidR="0009585F">
        <w:rPr>
          <w:rFonts w:ascii="Arial" w:hAnsi="Arial" w:cs="Arial"/>
          <w:b/>
          <w:bCs/>
        </w:rPr>
        <w:t>Because the</w:t>
      </w:r>
      <w:r w:rsidR="001C22D1" w:rsidRPr="00C53AC7">
        <w:rPr>
          <w:rFonts w:ascii="Arial" w:hAnsi="Arial" w:cs="Arial"/>
          <w:b/>
          <w:bCs/>
        </w:rPr>
        <w:t xml:space="preserve"> CLH is hazard-based, it is essential </w:t>
      </w:r>
      <w:r w:rsidR="00C804C9">
        <w:rPr>
          <w:rFonts w:ascii="Arial" w:hAnsi="Arial" w:cs="Arial"/>
          <w:b/>
          <w:bCs/>
        </w:rPr>
        <w:t xml:space="preserve">that </w:t>
      </w:r>
      <w:r w:rsidR="001C22D1" w:rsidRPr="00C53AC7">
        <w:rPr>
          <w:rFonts w:ascii="Arial" w:hAnsi="Arial" w:cs="Arial"/>
          <w:b/>
          <w:bCs/>
        </w:rPr>
        <w:t>the evidence base clearly demonstrates adversity at doses relevant to foreseeable human exposures for the uses in scope; otherwise</w:t>
      </w:r>
      <w:r w:rsidR="006B03D7">
        <w:rPr>
          <w:rFonts w:ascii="Arial" w:hAnsi="Arial" w:cs="Arial"/>
          <w:b/>
          <w:bCs/>
        </w:rPr>
        <w:t>,</w:t>
      </w:r>
      <w:r w:rsidR="001C22D1" w:rsidRPr="00C53AC7">
        <w:rPr>
          <w:rFonts w:ascii="Arial" w:hAnsi="Arial" w:cs="Arial"/>
          <w:b/>
          <w:bCs/>
        </w:rPr>
        <w:t xml:space="preserve"> hazard conclusions risk being </w:t>
      </w:r>
      <w:r w:rsidR="00222973">
        <w:rPr>
          <w:rFonts w:ascii="Arial" w:hAnsi="Arial" w:cs="Arial"/>
          <w:b/>
          <w:bCs/>
        </w:rPr>
        <w:t xml:space="preserve">erroneous, as they would be </w:t>
      </w:r>
      <w:r w:rsidR="001C22D1" w:rsidRPr="00C53AC7">
        <w:rPr>
          <w:rFonts w:ascii="Arial" w:hAnsi="Arial" w:cs="Arial"/>
          <w:b/>
          <w:bCs/>
        </w:rPr>
        <w:t>driven by high-dose artifacts and confounding</w:t>
      </w:r>
      <w:r w:rsidR="001C22D1" w:rsidRPr="001C22D1">
        <w:rPr>
          <w:rFonts w:ascii="Arial" w:hAnsi="Arial" w:cs="Arial"/>
        </w:rPr>
        <w:t>.</w:t>
      </w:r>
      <w:r>
        <w:rPr>
          <w:rFonts w:ascii="Arial" w:hAnsi="Arial" w:cs="Arial"/>
          <w:lang w:val="en-GB"/>
        </w:rPr>
        <w:t xml:space="preserve">Therefore, IADR urges a </w:t>
      </w:r>
      <w:r w:rsidRPr="00A529E8">
        <w:rPr>
          <w:rFonts w:ascii="Arial" w:hAnsi="Arial" w:cs="Arial"/>
          <w:b/>
          <w:bCs/>
          <w:lang w:val="en-GB"/>
        </w:rPr>
        <w:t>very critical review of any and all evidence of potential negative consequences of sodium fluoride before adopting any new classification</w:t>
      </w:r>
      <w:r w:rsidR="00B133EB" w:rsidRPr="00A529E8">
        <w:rPr>
          <w:rFonts w:ascii="Arial" w:hAnsi="Arial" w:cs="Arial"/>
          <w:b/>
          <w:bCs/>
          <w:lang w:val="en-GB"/>
        </w:rPr>
        <w:t>s</w:t>
      </w:r>
      <w:r w:rsidR="00B133EB">
        <w:rPr>
          <w:rFonts w:ascii="Arial" w:hAnsi="Arial" w:cs="Arial"/>
          <w:lang w:val="en-GB"/>
        </w:rPr>
        <w:t>.</w:t>
      </w:r>
      <w:r>
        <w:rPr>
          <w:rFonts w:ascii="Arial" w:hAnsi="Arial" w:cs="Arial"/>
          <w:lang w:val="en-GB"/>
        </w:rPr>
        <w:t xml:space="preserve">  </w:t>
      </w:r>
    </w:p>
    <w:p w14:paraId="293CD84A" w14:textId="582F4541" w:rsidR="00AA3C9D" w:rsidRDefault="00AA3C9D" w:rsidP="00ED4E90">
      <w:pPr>
        <w:spacing w:after="160" w:line="259" w:lineRule="auto"/>
        <w:rPr>
          <w:rFonts w:ascii="Arial" w:hAnsi="Arial" w:cs="Arial"/>
          <w:lang w:val="en-GB"/>
        </w:rPr>
      </w:pPr>
      <w:r>
        <w:rPr>
          <w:rFonts w:ascii="Arial" w:hAnsi="Arial" w:cs="Arial"/>
          <w:lang w:val="en-GB"/>
        </w:rPr>
        <w:t xml:space="preserve"> </w:t>
      </w:r>
    </w:p>
    <w:p w14:paraId="5FCE16CB" w14:textId="73CA875D" w:rsidR="00622CFE" w:rsidRPr="00463417" w:rsidRDefault="00622CFE" w:rsidP="004D4D70">
      <w:pPr>
        <w:spacing w:before="160" w:after="160" w:line="259" w:lineRule="auto"/>
        <w:rPr>
          <w:rFonts w:ascii="Arial" w:hAnsi="Arial" w:cs="Arial"/>
          <w:b/>
          <w:bCs/>
          <w:color w:val="2F5496" w:themeColor="accent1" w:themeShade="BF"/>
        </w:rPr>
      </w:pPr>
      <w:r w:rsidRPr="00463417">
        <w:rPr>
          <w:rFonts w:ascii="Arial" w:hAnsi="Arial" w:cs="Arial"/>
          <w:b/>
          <w:bCs/>
          <w:color w:val="2F5496" w:themeColor="accent1" w:themeShade="BF"/>
        </w:rPr>
        <w:t>Developmental neurotoxicity and cognition: concerns with “sufficient evidence” conclusions</w:t>
      </w:r>
      <w:r w:rsidR="00E95F32">
        <w:rPr>
          <w:rFonts w:ascii="Arial" w:hAnsi="Arial" w:cs="Arial"/>
          <w:b/>
          <w:bCs/>
          <w:color w:val="2F5496" w:themeColor="accent1" w:themeShade="BF"/>
        </w:rPr>
        <w:t xml:space="preserve"> </w:t>
      </w:r>
      <w:r w:rsidR="00E95F32" w:rsidRPr="00E95F32">
        <w:rPr>
          <w:rFonts w:ascii="Arial" w:hAnsi="Arial" w:cs="Arial"/>
          <w:b/>
          <w:bCs/>
          <w:color w:val="2F5496" w:themeColor="accent1" w:themeShade="BF"/>
        </w:rPr>
        <w:t>(CLH Report Section 11.1.2.2, pages 133-159)</w:t>
      </w:r>
    </w:p>
    <w:p w14:paraId="36B9AE43" w14:textId="060F7A56" w:rsidR="007E3DD7" w:rsidRPr="002E08A5" w:rsidRDefault="007E3DD7" w:rsidP="007E3DD7">
      <w:pPr>
        <w:spacing w:after="160" w:line="259" w:lineRule="auto"/>
        <w:rPr>
          <w:rFonts w:ascii="Arial" w:hAnsi="Arial" w:cs="Arial"/>
        </w:rPr>
      </w:pPr>
      <w:r w:rsidRPr="000223AB">
        <w:rPr>
          <w:rFonts w:ascii="Arial" w:hAnsi="Arial" w:cs="Arial"/>
        </w:rPr>
        <w:t>Recent research in neuroscience and developmental psychology shows that brain development and cognitive abilities remain plastic well beyond early childhood, undermining the idea that IQ is fixed after the first few years of life</w:t>
      </w:r>
      <w:r>
        <w:rPr>
          <w:rFonts w:ascii="Arial" w:hAnsi="Arial" w:cs="Arial"/>
        </w:rPr>
        <w:t xml:space="preserve"> (Larsen et al, 2018)</w:t>
      </w:r>
      <w:r w:rsidRPr="000223AB">
        <w:rPr>
          <w:rFonts w:ascii="Arial" w:hAnsi="Arial" w:cs="Arial"/>
        </w:rPr>
        <w:t xml:space="preserve">. </w:t>
      </w:r>
      <w:r w:rsidR="000C12BE">
        <w:rPr>
          <w:rFonts w:ascii="Arial" w:hAnsi="Arial" w:cs="Arial"/>
        </w:rPr>
        <w:t>In fact, a</w:t>
      </w:r>
      <w:r w:rsidRPr="000223AB">
        <w:rPr>
          <w:rFonts w:ascii="Arial" w:hAnsi="Arial" w:cs="Arial"/>
        </w:rPr>
        <w:t xml:space="preserve">dolescence </w:t>
      </w:r>
      <w:r>
        <w:rPr>
          <w:rFonts w:ascii="Arial" w:hAnsi="Arial" w:cs="Arial"/>
        </w:rPr>
        <w:t>i</w:t>
      </w:r>
      <w:r w:rsidRPr="000223AB">
        <w:rPr>
          <w:rFonts w:ascii="Arial" w:hAnsi="Arial" w:cs="Arial"/>
        </w:rPr>
        <w:t>s a neurobiological</w:t>
      </w:r>
      <w:r w:rsidR="000F2A6E">
        <w:rPr>
          <w:rFonts w:ascii="Arial" w:hAnsi="Arial" w:cs="Arial"/>
        </w:rPr>
        <w:t>ly</w:t>
      </w:r>
      <w:r w:rsidRPr="000223AB">
        <w:rPr>
          <w:rFonts w:ascii="Arial" w:hAnsi="Arial" w:cs="Arial"/>
        </w:rPr>
        <w:t xml:space="preserve"> critical period for the development of higher-order cognition</w:t>
      </w:r>
      <w:r>
        <w:rPr>
          <w:rFonts w:ascii="Arial" w:hAnsi="Arial" w:cs="Arial"/>
        </w:rPr>
        <w:t xml:space="preserve"> (</w:t>
      </w:r>
      <w:proofErr w:type="spellStart"/>
      <w:r>
        <w:rPr>
          <w:rFonts w:ascii="Arial" w:hAnsi="Arial" w:cs="Arial"/>
        </w:rPr>
        <w:t>Mousely</w:t>
      </w:r>
      <w:proofErr w:type="spellEnd"/>
      <w:r>
        <w:rPr>
          <w:rFonts w:ascii="Arial" w:hAnsi="Arial" w:cs="Arial"/>
        </w:rPr>
        <w:t xml:space="preserve"> et al. 2025)</w:t>
      </w:r>
      <w:r w:rsidRPr="000223AB">
        <w:rPr>
          <w:rFonts w:ascii="Arial" w:hAnsi="Arial" w:cs="Arial"/>
        </w:rPr>
        <w:t xml:space="preserve">. </w:t>
      </w:r>
      <w:r w:rsidRPr="002E08A5">
        <w:rPr>
          <w:rFonts w:ascii="Arial" w:hAnsi="Arial" w:cs="Arial"/>
        </w:rPr>
        <w:t xml:space="preserve">In this context, the recent longitudinal study by Warren et al. </w:t>
      </w:r>
      <w:r w:rsidR="00A529E8">
        <w:rPr>
          <w:rFonts w:ascii="Arial" w:hAnsi="Arial" w:cs="Arial"/>
        </w:rPr>
        <w:t xml:space="preserve">(2025) </w:t>
      </w:r>
      <w:r w:rsidRPr="002E08A5">
        <w:rPr>
          <w:rFonts w:ascii="Arial" w:hAnsi="Arial" w:cs="Arial"/>
        </w:rPr>
        <w:t xml:space="preserve">of U.S. adolescents and adults is </w:t>
      </w:r>
      <w:r w:rsidR="000C12BE">
        <w:rPr>
          <w:rFonts w:ascii="Arial" w:hAnsi="Arial" w:cs="Arial"/>
        </w:rPr>
        <w:t xml:space="preserve">highly </w:t>
      </w:r>
      <w:r w:rsidRPr="002E08A5">
        <w:rPr>
          <w:rFonts w:ascii="Arial" w:hAnsi="Arial" w:cs="Arial"/>
        </w:rPr>
        <w:t>significant because it assessed long-term effects. Th</w:t>
      </w:r>
      <w:r w:rsidR="00333097">
        <w:rPr>
          <w:rFonts w:ascii="Arial" w:hAnsi="Arial" w:cs="Arial"/>
        </w:rPr>
        <w:t>is</w:t>
      </w:r>
      <w:r w:rsidRPr="002E08A5">
        <w:rPr>
          <w:rFonts w:ascii="Arial" w:hAnsi="Arial" w:cs="Arial"/>
        </w:rPr>
        <w:t xml:space="preserve"> study showed that children exposed to recommended levels of fluoride in drinking water exhibit modestly better cognition in secondary school, an advantage that is smaller and no longer statistically significant at age ~60</w:t>
      </w:r>
      <w:r>
        <w:rPr>
          <w:rFonts w:ascii="Arial" w:hAnsi="Arial" w:cs="Arial"/>
        </w:rPr>
        <w:t xml:space="preserve"> (Warren et </w:t>
      </w:r>
      <w:r>
        <w:rPr>
          <w:rFonts w:ascii="Arial" w:hAnsi="Arial" w:cs="Arial"/>
        </w:rPr>
        <w:lastRenderedPageBreak/>
        <w:t>al, 2025)</w:t>
      </w:r>
      <w:r w:rsidRPr="002E08A5">
        <w:rPr>
          <w:rFonts w:ascii="Arial" w:hAnsi="Arial" w:cs="Arial"/>
        </w:rPr>
        <w:t>.</w:t>
      </w:r>
      <w:r w:rsidR="00DF61E0">
        <w:rPr>
          <w:rFonts w:ascii="Arial" w:hAnsi="Arial" w:cs="Arial"/>
        </w:rPr>
        <w:t xml:space="preserve"> </w:t>
      </w:r>
      <w:r w:rsidR="00DF61E0" w:rsidRPr="009E7607">
        <w:rPr>
          <w:rFonts w:ascii="Arial" w:hAnsi="Arial" w:cs="Arial"/>
        </w:rPr>
        <w:t>Th</w:t>
      </w:r>
      <w:r w:rsidR="00DF61E0">
        <w:rPr>
          <w:rFonts w:ascii="Arial" w:hAnsi="Arial" w:cs="Arial"/>
        </w:rPr>
        <w:t>is</w:t>
      </w:r>
      <w:r w:rsidR="00DF61E0" w:rsidRPr="009E7607">
        <w:rPr>
          <w:rFonts w:ascii="Arial" w:hAnsi="Arial" w:cs="Arial"/>
        </w:rPr>
        <w:t xml:space="preserve"> compelling</w:t>
      </w:r>
      <w:r w:rsidR="00DF61E0">
        <w:rPr>
          <w:rFonts w:ascii="Arial" w:hAnsi="Arial" w:cs="Arial"/>
          <w:b/>
          <w:bCs/>
        </w:rPr>
        <w:t xml:space="preserve"> </w:t>
      </w:r>
      <w:r w:rsidR="00DF61E0" w:rsidRPr="006918D3">
        <w:rPr>
          <w:rFonts w:ascii="Arial" w:hAnsi="Arial" w:cs="Arial"/>
        </w:rPr>
        <w:t xml:space="preserve">study </w:t>
      </w:r>
      <w:r w:rsidR="00DF61E0">
        <w:rPr>
          <w:rFonts w:ascii="Arial" w:hAnsi="Arial" w:cs="Arial"/>
        </w:rPr>
        <w:t>warrants f</w:t>
      </w:r>
      <w:r w:rsidR="00DF61E0" w:rsidRPr="006918D3">
        <w:rPr>
          <w:rFonts w:ascii="Arial" w:hAnsi="Arial" w:cs="Arial"/>
        </w:rPr>
        <w:t>urther research including more specific assessment of exposure.</w:t>
      </w:r>
    </w:p>
    <w:p w14:paraId="1D62003D" w14:textId="41077350" w:rsidR="003C1E79" w:rsidRPr="003C1E79" w:rsidRDefault="003C1E79" w:rsidP="003C1E79">
      <w:pPr>
        <w:spacing w:after="160" w:line="259" w:lineRule="auto"/>
        <w:rPr>
          <w:rFonts w:ascii="Arial" w:hAnsi="Arial" w:cs="Arial"/>
        </w:rPr>
      </w:pPr>
      <w:r w:rsidRPr="003C1E79">
        <w:rPr>
          <w:rFonts w:ascii="Arial" w:hAnsi="Arial" w:cs="Arial"/>
        </w:rPr>
        <w:t>The CL</w:t>
      </w:r>
      <w:r w:rsidR="00B859D4">
        <w:rPr>
          <w:rFonts w:ascii="Arial" w:hAnsi="Arial" w:cs="Arial"/>
        </w:rPr>
        <w:t>H</w:t>
      </w:r>
      <w:r w:rsidRPr="003C1E79">
        <w:rPr>
          <w:rFonts w:ascii="Arial" w:hAnsi="Arial" w:cs="Arial"/>
        </w:rPr>
        <w:t xml:space="preserve"> report </w:t>
      </w:r>
      <w:r w:rsidR="00691630" w:rsidRPr="00691630">
        <w:rPr>
          <w:rFonts w:ascii="Arial" w:hAnsi="Arial" w:cs="Arial"/>
        </w:rPr>
        <w:t>tabulates human studies of children and cognition, as well as studies on experimental animal models</w:t>
      </w:r>
      <w:r w:rsidR="00297727">
        <w:rPr>
          <w:rFonts w:ascii="Arial" w:hAnsi="Arial" w:cs="Arial"/>
        </w:rPr>
        <w:t>,</w:t>
      </w:r>
      <w:r w:rsidR="00691630" w:rsidRPr="00691630">
        <w:rPr>
          <w:rFonts w:ascii="Arial" w:hAnsi="Arial" w:cs="Arial"/>
        </w:rPr>
        <w:t xml:space="preserve"> and states that it </w:t>
      </w:r>
      <w:r w:rsidRPr="003C1E79">
        <w:rPr>
          <w:rFonts w:ascii="Arial" w:hAnsi="Arial" w:cs="Arial"/>
        </w:rPr>
        <w:t>provide</w:t>
      </w:r>
      <w:r w:rsidR="009505DB">
        <w:rPr>
          <w:rFonts w:ascii="Arial" w:hAnsi="Arial" w:cs="Arial"/>
        </w:rPr>
        <w:t>s</w:t>
      </w:r>
      <w:r w:rsidRPr="003C1E79">
        <w:rPr>
          <w:rFonts w:ascii="Arial" w:hAnsi="Arial" w:cs="Arial"/>
        </w:rPr>
        <w:t xml:space="preserve"> sufficient evidence associating increased fluoride exposure during pregnancy with decreased IQ and impaired cognitive function in children. The comment</w:t>
      </w:r>
      <w:r w:rsidR="00EC5BFB">
        <w:rPr>
          <w:rFonts w:ascii="Arial" w:hAnsi="Arial" w:cs="Arial"/>
        </w:rPr>
        <w:t>s below</w:t>
      </w:r>
      <w:r w:rsidRPr="003C1E79">
        <w:rPr>
          <w:rFonts w:ascii="Arial" w:hAnsi="Arial" w:cs="Arial"/>
        </w:rPr>
        <w:t xml:space="preserve"> highlight several </w:t>
      </w:r>
      <w:r w:rsidR="00737831">
        <w:rPr>
          <w:rFonts w:ascii="Arial" w:hAnsi="Arial" w:cs="Arial"/>
        </w:rPr>
        <w:t xml:space="preserve">important </w:t>
      </w:r>
      <w:r w:rsidRPr="003C1E79">
        <w:rPr>
          <w:rFonts w:ascii="Arial" w:hAnsi="Arial" w:cs="Arial"/>
        </w:rPr>
        <w:t>scientific issues that</w:t>
      </w:r>
      <w:r w:rsidR="00C3682E">
        <w:rPr>
          <w:rFonts w:ascii="Arial" w:hAnsi="Arial" w:cs="Arial"/>
        </w:rPr>
        <w:t xml:space="preserve"> </w:t>
      </w:r>
      <w:r w:rsidRPr="003C1E79">
        <w:rPr>
          <w:rFonts w:ascii="Arial" w:hAnsi="Arial" w:cs="Arial"/>
        </w:rPr>
        <w:t>necessitate a more cautious interpretation</w:t>
      </w:r>
      <w:r w:rsidR="00290B1D">
        <w:rPr>
          <w:rFonts w:ascii="Arial" w:hAnsi="Arial" w:cs="Arial"/>
        </w:rPr>
        <w:t xml:space="preserve"> of these studies</w:t>
      </w:r>
      <w:r w:rsidRPr="003C1E79">
        <w:rPr>
          <w:rFonts w:ascii="Arial" w:hAnsi="Arial" w:cs="Arial"/>
        </w:rPr>
        <w:t>:</w:t>
      </w:r>
    </w:p>
    <w:p w14:paraId="4EAE0D54" w14:textId="77777777" w:rsidR="00760995" w:rsidRDefault="004C1882" w:rsidP="00A909B3">
      <w:pPr>
        <w:pStyle w:val="ListParagraph"/>
        <w:numPr>
          <w:ilvl w:val="0"/>
          <w:numId w:val="2"/>
        </w:numPr>
        <w:spacing w:after="160" w:line="259" w:lineRule="auto"/>
        <w:rPr>
          <w:rFonts w:ascii="Arial" w:hAnsi="Arial" w:cs="Arial"/>
        </w:rPr>
      </w:pPr>
      <w:r w:rsidRPr="004C1882">
        <w:rPr>
          <w:rFonts w:ascii="Arial" w:hAnsi="Arial" w:cs="Arial"/>
          <w:b/>
          <w:bCs/>
        </w:rPr>
        <w:t>Proxy exposure measurement and misclassification</w:t>
      </w:r>
      <w:r w:rsidR="00DA772E">
        <w:rPr>
          <w:rFonts w:ascii="Arial" w:hAnsi="Arial" w:cs="Arial"/>
          <w:b/>
          <w:bCs/>
        </w:rPr>
        <w:t xml:space="preserve"> </w:t>
      </w:r>
      <w:r w:rsidR="00DA772E" w:rsidRPr="005B109A">
        <w:rPr>
          <w:rFonts w:ascii="Arial" w:hAnsi="Arial" w:cs="Arial"/>
          <w:i/>
          <w:iCs/>
        </w:rPr>
        <w:t xml:space="preserve">(Section 11.1.2.2.1 – </w:t>
      </w:r>
      <w:r w:rsidR="00DA772E">
        <w:rPr>
          <w:rFonts w:ascii="Arial" w:hAnsi="Arial" w:cs="Arial"/>
          <w:i/>
          <w:iCs/>
        </w:rPr>
        <w:t>Table 23</w:t>
      </w:r>
      <w:r w:rsidR="00B628B4">
        <w:rPr>
          <w:rFonts w:ascii="Arial" w:hAnsi="Arial" w:cs="Arial"/>
          <w:i/>
          <w:iCs/>
        </w:rPr>
        <w:t>, p. 13</w:t>
      </w:r>
      <w:r w:rsidR="00C03381">
        <w:rPr>
          <w:rFonts w:ascii="Arial" w:hAnsi="Arial" w:cs="Arial"/>
          <w:i/>
          <w:iCs/>
        </w:rPr>
        <w:t>5 - 139</w:t>
      </w:r>
      <w:r w:rsidR="00DA772E" w:rsidRPr="005B109A">
        <w:rPr>
          <w:rFonts w:ascii="Arial" w:hAnsi="Arial" w:cs="Arial"/>
          <w:i/>
          <w:iCs/>
        </w:rPr>
        <w:t>)</w:t>
      </w:r>
      <w:r w:rsidRPr="004C1882">
        <w:rPr>
          <w:rFonts w:ascii="Arial" w:hAnsi="Arial" w:cs="Arial"/>
        </w:rPr>
        <w:t xml:space="preserve"> </w:t>
      </w:r>
    </w:p>
    <w:p w14:paraId="7E2D3ACE" w14:textId="4F1AB567" w:rsidR="001C1C07" w:rsidRDefault="004C1882" w:rsidP="00760995">
      <w:pPr>
        <w:pStyle w:val="ListParagraph"/>
        <w:spacing w:after="160" w:line="259" w:lineRule="auto"/>
        <w:rPr>
          <w:rFonts w:ascii="Arial" w:hAnsi="Arial" w:cs="Arial"/>
        </w:rPr>
      </w:pPr>
      <w:r w:rsidRPr="004C1882">
        <w:rPr>
          <w:rFonts w:ascii="Arial" w:hAnsi="Arial" w:cs="Arial"/>
        </w:rPr>
        <w:t xml:space="preserve">True fetal/child target-tissue exposure </w:t>
      </w:r>
      <w:r w:rsidR="00A527DC">
        <w:rPr>
          <w:rFonts w:ascii="Arial" w:hAnsi="Arial" w:cs="Arial"/>
        </w:rPr>
        <w:t xml:space="preserve">in the brain </w:t>
      </w:r>
      <w:r w:rsidRPr="004C1882">
        <w:rPr>
          <w:rFonts w:ascii="Arial" w:hAnsi="Arial" w:cs="Arial"/>
        </w:rPr>
        <w:t>is unknowable</w:t>
      </w:r>
      <w:r w:rsidR="0080672A">
        <w:rPr>
          <w:rFonts w:ascii="Arial" w:hAnsi="Arial" w:cs="Arial"/>
        </w:rPr>
        <w:t>;</w:t>
      </w:r>
      <w:r w:rsidR="00FF7583">
        <w:rPr>
          <w:rFonts w:ascii="Arial" w:hAnsi="Arial" w:cs="Arial"/>
        </w:rPr>
        <w:t xml:space="preserve"> therefore</w:t>
      </w:r>
      <w:r w:rsidR="0080672A">
        <w:rPr>
          <w:rFonts w:ascii="Arial" w:hAnsi="Arial" w:cs="Arial"/>
        </w:rPr>
        <w:t>,</w:t>
      </w:r>
      <w:r w:rsidR="00FF7583">
        <w:rPr>
          <w:rFonts w:ascii="Arial" w:hAnsi="Arial" w:cs="Arial"/>
        </w:rPr>
        <w:t xml:space="preserve"> </w:t>
      </w:r>
      <w:r w:rsidRPr="004C1882">
        <w:rPr>
          <w:rFonts w:ascii="Arial" w:hAnsi="Arial" w:cs="Arial"/>
        </w:rPr>
        <w:t xml:space="preserve">most </w:t>
      </w:r>
      <w:r w:rsidR="00FF7583">
        <w:rPr>
          <w:rFonts w:ascii="Arial" w:hAnsi="Arial" w:cs="Arial"/>
        </w:rPr>
        <w:t>exposure measures</w:t>
      </w:r>
      <w:r w:rsidRPr="004C1882">
        <w:rPr>
          <w:rFonts w:ascii="Arial" w:hAnsi="Arial" w:cs="Arial"/>
        </w:rPr>
        <w:t xml:space="preserve"> rely on proxies </w:t>
      </w:r>
      <w:r w:rsidR="005F1643">
        <w:rPr>
          <w:rFonts w:ascii="Arial" w:hAnsi="Arial" w:cs="Arial"/>
        </w:rPr>
        <w:t>such as</w:t>
      </w:r>
      <w:r w:rsidRPr="004C1882">
        <w:rPr>
          <w:rFonts w:ascii="Arial" w:hAnsi="Arial" w:cs="Arial"/>
        </w:rPr>
        <w:t xml:space="preserve"> </w:t>
      </w:r>
      <w:r w:rsidRPr="00A527DC">
        <w:rPr>
          <w:rFonts w:ascii="Arial" w:hAnsi="Arial" w:cs="Arial"/>
        </w:rPr>
        <w:t>spot urinary fluoride</w:t>
      </w:r>
      <w:r w:rsidRPr="004C1882">
        <w:rPr>
          <w:rFonts w:ascii="Arial" w:hAnsi="Arial" w:cs="Arial"/>
        </w:rPr>
        <w:t xml:space="preserve"> that can vary substantially day-to-day and introduce exposure misclassification</w:t>
      </w:r>
      <w:r w:rsidR="0088483B">
        <w:rPr>
          <w:rFonts w:ascii="Arial" w:hAnsi="Arial" w:cs="Arial"/>
        </w:rPr>
        <w:t xml:space="preserve">. </w:t>
      </w:r>
      <w:r w:rsidR="0088483B" w:rsidRPr="00EB628C">
        <w:rPr>
          <w:rFonts w:ascii="Arial" w:hAnsi="Arial" w:cs="Arial"/>
          <w:i/>
          <w:iCs/>
          <w:u w:val="single"/>
        </w:rPr>
        <w:t xml:space="preserve">The </w:t>
      </w:r>
      <w:r w:rsidR="00EB628C" w:rsidRPr="00EB628C">
        <w:rPr>
          <w:rFonts w:ascii="Arial" w:hAnsi="Arial" w:cs="Arial"/>
          <w:i/>
          <w:iCs/>
          <w:u w:val="single"/>
        </w:rPr>
        <w:t xml:space="preserve">CLH </w:t>
      </w:r>
      <w:r w:rsidR="0088483B" w:rsidRPr="00EB628C">
        <w:rPr>
          <w:rFonts w:ascii="Arial" w:hAnsi="Arial" w:cs="Arial"/>
          <w:i/>
          <w:iCs/>
          <w:u w:val="single"/>
        </w:rPr>
        <w:t>report ignores</w:t>
      </w:r>
      <w:r w:rsidR="00A527DC" w:rsidRPr="00EB628C">
        <w:rPr>
          <w:rFonts w:ascii="Arial" w:hAnsi="Arial" w:cs="Arial"/>
          <w:i/>
          <w:iCs/>
          <w:u w:val="single"/>
        </w:rPr>
        <w:t xml:space="preserve"> </w:t>
      </w:r>
      <w:r w:rsidR="007C2AF0" w:rsidRPr="00EB628C">
        <w:rPr>
          <w:rFonts w:ascii="Arial" w:hAnsi="Arial" w:cs="Arial"/>
          <w:i/>
          <w:iCs/>
          <w:u w:val="single"/>
        </w:rPr>
        <w:t>studies that use other individual exposure measures</w:t>
      </w:r>
      <w:r w:rsidR="007C2AF0">
        <w:rPr>
          <w:rFonts w:ascii="Arial" w:hAnsi="Arial" w:cs="Arial"/>
        </w:rPr>
        <w:t>.</w:t>
      </w:r>
      <w:r w:rsidR="0088483B">
        <w:rPr>
          <w:rFonts w:ascii="Arial" w:hAnsi="Arial" w:cs="Arial"/>
        </w:rPr>
        <w:t xml:space="preserve"> </w:t>
      </w:r>
      <w:r w:rsidR="00C5246F">
        <w:rPr>
          <w:rFonts w:ascii="Arial" w:hAnsi="Arial" w:cs="Arial"/>
        </w:rPr>
        <w:t>The study</w:t>
      </w:r>
      <w:r w:rsidR="00546C1B">
        <w:rPr>
          <w:rFonts w:ascii="Arial" w:hAnsi="Arial" w:cs="Arial"/>
        </w:rPr>
        <w:t xml:space="preserve"> by Do et al</w:t>
      </w:r>
      <w:r w:rsidR="00E9235A">
        <w:rPr>
          <w:rFonts w:ascii="Arial" w:hAnsi="Arial" w:cs="Arial"/>
        </w:rPr>
        <w:t>.</w:t>
      </w:r>
      <w:r w:rsidR="00C5246F">
        <w:rPr>
          <w:rFonts w:ascii="Arial" w:hAnsi="Arial" w:cs="Arial"/>
        </w:rPr>
        <w:t xml:space="preserve"> </w:t>
      </w:r>
      <w:r w:rsidR="00105199">
        <w:rPr>
          <w:rFonts w:ascii="Arial" w:hAnsi="Arial" w:cs="Arial"/>
        </w:rPr>
        <w:t xml:space="preserve">(2025) </w:t>
      </w:r>
      <w:proofErr w:type="gramStart"/>
      <w:r w:rsidR="00215028">
        <w:rPr>
          <w:rFonts w:ascii="Arial" w:hAnsi="Arial" w:cs="Arial"/>
        </w:rPr>
        <w:t>assessed</w:t>
      </w:r>
      <w:proofErr w:type="gramEnd"/>
      <w:r w:rsidR="00215028">
        <w:rPr>
          <w:rFonts w:ascii="Arial" w:hAnsi="Arial" w:cs="Arial"/>
        </w:rPr>
        <w:t xml:space="preserve"> </w:t>
      </w:r>
      <w:r w:rsidR="00A04780" w:rsidRPr="00A04780">
        <w:rPr>
          <w:rFonts w:ascii="Arial" w:hAnsi="Arial" w:cs="Arial"/>
        </w:rPr>
        <w:t xml:space="preserve">residential history </w:t>
      </w:r>
      <w:r w:rsidR="0044144C">
        <w:rPr>
          <w:rFonts w:ascii="Arial" w:hAnsi="Arial" w:cs="Arial"/>
        </w:rPr>
        <w:t>to postcode-level fluoride concentrations in</w:t>
      </w:r>
      <w:r w:rsidR="0080672A">
        <w:rPr>
          <w:rFonts w:ascii="Arial" w:hAnsi="Arial" w:cs="Arial"/>
        </w:rPr>
        <w:t xml:space="preserve"> the</w:t>
      </w:r>
      <w:r w:rsidR="0044144C">
        <w:rPr>
          <w:rFonts w:ascii="Arial" w:hAnsi="Arial" w:cs="Arial"/>
        </w:rPr>
        <w:t xml:space="preserve"> public water database </w:t>
      </w:r>
      <w:r w:rsidR="00A04780" w:rsidRPr="00A04780">
        <w:rPr>
          <w:rFonts w:ascii="Arial" w:hAnsi="Arial" w:cs="Arial"/>
        </w:rPr>
        <w:t>and dental fluorosis exposure measures hav</w:t>
      </w:r>
      <w:r w:rsidR="00D33D6C">
        <w:rPr>
          <w:rFonts w:ascii="Arial" w:hAnsi="Arial" w:cs="Arial"/>
        </w:rPr>
        <w:t>ing</w:t>
      </w:r>
      <w:r w:rsidR="00A04780" w:rsidRPr="00A04780">
        <w:rPr>
          <w:rFonts w:ascii="Arial" w:hAnsi="Arial" w:cs="Arial"/>
        </w:rPr>
        <w:t xml:space="preserve"> a distinct advantage over the spot urinary fluoride measure</w:t>
      </w:r>
      <w:r w:rsidR="009F04AA">
        <w:rPr>
          <w:rFonts w:ascii="Arial" w:hAnsi="Arial" w:cs="Arial"/>
        </w:rPr>
        <w:t xml:space="preserve">. </w:t>
      </w:r>
      <w:r w:rsidR="003A5B63" w:rsidRPr="003A5B63">
        <w:rPr>
          <w:rFonts w:ascii="Arial" w:hAnsi="Arial" w:cs="Arial"/>
        </w:rPr>
        <w:t xml:space="preserve">In that study, </w:t>
      </w:r>
      <w:r w:rsidR="003A5B63" w:rsidRPr="00A529E8">
        <w:rPr>
          <w:rFonts w:ascii="Arial" w:hAnsi="Arial" w:cs="Arial"/>
          <w:b/>
          <w:bCs/>
        </w:rPr>
        <w:t>the authors reported no evidence that early childhood fluoride exposure adversely affected cognitive neurodevelopment.</w:t>
      </w:r>
      <w:r w:rsidR="003A5B63" w:rsidRPr="003A5B63">
        <w:rPr>
          <w:rFonts w:ascii="Arial" w:hAnsi="Arial" w:cs="Arial"/>
        </w:rPr>
        <w:t xml:space="preserve"> </w:t>
      </w:r>
      <w:r w:rsidR="009F04AA">
        <w:rPr>
          <w:rFonts w:ascii="Arial" w:hAnsi="Arial" w:cs="Arial"/>
        </w:rPr>
        <w:t>T</w:t>
      </w:r>
      <w:r w:rsidR="00C5246F">
        <w:rPr>
          <w:rFonts w:ascii="Arial" w:hAnsi="Arial" w:cs="Arial"/>
        </w:rPr>
        <w:t>herefore</w:t>
      </w:r>
      <w:r w:rsidR="009F04AA">
        <w:rPr>
          <w:rFonts w:ascii="Arial" w:hAnsi="Arial" w:cs="Arial"/>
        </w:rPr>
        <w:t>, this study</w:t>
      </w:r>
      <w:r w:rsidR="00C5246F">
        <w:rPr>
          <w:rFonts w:ascii="Arial" w:hAnsi="Arial" w:cs="Arial"/>
        </w:rPr>
        <w:t xml:space="preserve"> should be included within </w:t>
      </w:r>
      <w:r w:rsidR="00363A27">
        <w:rPr>
          <w:rFonts w:ascii="Arial" w:hAnsi="Arial" w:cs="Arial"/>
        </w:rPr>
        <w:t xml:space="preserve">the </w:t>
      </w:r>
      <w:r w:rsidR="00C20ED0">
        <w:rPr>
          <w:rFonts w:ascii="Arial" w:hAnsi="Arial" w:cs="Arial"/>
        </w:rPr>
        <w:t xml:space="preserve">report </w:t>
      </w:r>
      <w:proofErr w:type="gramStart"/>
      <w:r w:rsidR="00C20ED0">
        <w:rPr>
          <w:rFonts w:ascii="Arial" w:hAnsi="Arial" w:cs="Arial"/>
        </w:rPr>
        <w:t>analyses</w:t>
      </w:r>
      <w:proofErr w:type="gramEnd"/>
      <w:r w:rsidR="00C20ED0">
        <w:rPr>
          <w:rFonts w:ascii="Arial" w:hAnsi="Arial" w:cs="Arial"/>
        </w:rPr>
        <w:t>.</w:t>
      </w:r>
      <w:r w:rsidR="00A04780" w:rsidRPr="00A04780">
        <w:rPr>
          <w:rFonts w:ascii="Arial" w:hAnsi="Arial" w:cs="Arial"/>
        </w:rPr>
        <w:t xml:space="preserve"> </w:t>
      </w:r>
    </w:p>
    <w:p w14:paraId="76F3B26B" w14:textId="04345913" w:rsidR="004010E4" w:rsidRDefault="004010E4" w:rsidP="001C1C07">
      <w:pPr>
        <w:pStyle w:val="ListParagraph"/>
        <w:numPr>
          <w:ilvl w:val="1"/>
          <w:numId w:val="2"/>
        </w:numPr>
        <w:spacing w:after="160" w:line="259" w:lineRule="auto"/>
        <w:rPr>
          <w:rFonts w:ascii="Arial" w:hAnsi="Arial" w:cs="Arial"/>
        </w:rPr>
      </w:pPr>
      <w:r w:rsidRPr="004010E4">
        <w:rPr>
          <w:rFonts w:ascii="Arial" w:hAnsi="Arial" w:cs="Arial"/>
        </w:rPr>
        <w:t>Do LG, Sawyer A, Spencer A</w:t>
      </w:r>
      <w:r w:rsidR="00105199">
        <w:rPr>
          <w:rFonts w:ascii="Arial" w:hAnsi="Arial" w:cs="Arial"/>
        </w:rPr>
        <w:t>J</w:t>
      </w:r>
      <w:r w:rsidRPr="004010E4">
        <w:rPr>
          <w:rFonts w:ascii="Arial" w:hAnsi="Arial" w:cs="Arial"/>
        </w:rPr>
        <w:t xml:space="preserve">, Leary S, Kuring JK, Jones AL, Le T, Reece CE, Ha DH. </w:t>
      </w:r>
      <w:r w:rsidR="00F61DD5">
        <w:rPr>
          <w:rFonts w:ascii="Arial" w:hAnsi="Arial" w:cs="Arial"/>
        </w:rPr>
        <w:t xml:space="preserve">(2025). </w:t>
      </w:r>
      <w:r w:rsidRPr="004010E4">
        <w:rPr>
          <w:rFonts w:ascii="Arial" w:hAnsi="Arial" w:cs="Arial"/>
        </w:rPr>
        <w:t xml:space="preserve">Early Childhood Exposures to Fluorides and Cognitive Neurodevelopment: A Population-Based Longitudinal Study. J Dent Res. 104(3):243-250. </w:t>
      </w:r>
    </w:p>
    <w:p w14:paraId="4EC4C1E2" w14:textId="77777777" w:rsidR="009D718E" w:rsidRDefault="004C1882" w:rsidP="00425620">
      <w:pPr>
        <w:pStyle w:val="ListParagraph"/>
        <w:numPr>
          <w:ilvl w:val="0"/>
          <w:numId w:val="2"/>
        </w:numPr>
        <w:spacing w:after="160" w:line="259" w:lineRule="auto"/>
        <w:rPr>
          <w:rFonts w:ascii="Arial" w:hAnsi="Arial" w:cs="Arial"/>
        </w:rPr>
      </w:pPr>
      <w:r w:rsidRPr="00425620">
        <w:rPr>
          <w:rFonts w:ascii="Arial" w:hAnsi="Arial" w:cs="Arial"/>
          <w:b/>
          <w:bCs/>
        </w:rPr>
        <w:t>Epidemiological limitations</w:t>
      </w:r>
      <w:r w:rsidR="00951C30">
        <w:rPr>
          <w:rFonts w:ascii="Arial" w:hAnsi="Arial" w:cs="Arial"/>
          <w:b/>
          <w:bCs/>
        </w:rPr>
        <w:t xml:space="preserve"> </w:t>
      </w:r>
      <w:bookmarkStart w:id="0" w:name="_Hlk219363547"/>
      <w:r w:rsidR="00951C30" w:rsidRPr="005B109A">
        <w:rPr>
          <w:rFonts w:ascii="Arial" w:hAnsi="Arial" w:cs="Arial"/>
          <w:i/>
          <w:iCs/>
        </w:rPr>
        <w:t xml:space="preserve">(Section 11.1.2.2.1 – </w:t>
      </w:r>
      <w:r w:rsidR="00951C30">
        <w:rPr>
          <w:rFonts w:ascii="Arial" w:hAnsi="Arial" w:cs="Arial"/>
          <w:i/>
          <w:iCs/>
        </w:rPr>
        <w:t>Table 2</w:t>
      </w:r>
      <w:r w:rsidR="0047649D">
        <w:rPr>
          <w:rFonts w:ascii="Arial" w:hAnsi="Arial" w:cs="Arial"/>
          <w:i/>
          <w:iCs/>
        </w:rPr>
        <w:t>3</w:t>
      </w:r>
      <w:r w:rsidR="00FD303A">
        <w:rPr>
          <w:rFonts w:ascii="Arial" w:hAnsi="Arial" w:cs="Arial"/>
          <w:i/>
          <w:iCs/>
        </w:rPr>
        <w:t>, p. 135</w:t>
      </w:r>
      <w:r w:rsidR="004A533D">
        <w:rPr>
          <w:rFonts w:ascii="Arial" w:hAnsi="Arial" w:cs="Arial"/>
          <w:i/>
          <w:iCs/>
        </w:rPr>
        <w:t xml:space="preserve"> - 136</w:t>
      </w:r>
      <w:r w:rsidR="00951C30" w:rsidRPr="005B109A">
        <w:rPr>
          <w:rFonts w:ascii="Arial" w:hAnsi="Arial" w:cs="Arial"/>
          <w:i/>
          <w:iCs/>
        </w:rPr>
        <w:t>)</w:t>
      </w:r>
      <w:bookmarkEnd w:id="0"/>
    </w:p>
    <w:p w14:paraId="206BEB7F" w14:textId="1D93EBAB" w:rsidR="005E5313" w:rsidRDefault="001C707D" w:rsidP="009D718E">
      <w:pPr>
        <w:pStyle w:val="ListParagraph"/>
        <w:spacing w:after="160" w:line="259" w:lineRule="auto"/>
        <w:rPr>
          <w:rFonts w:ascii="Arial" w:hAnsi="Arial" w:cs="Arial"/>
        </w:rPr>
      </w:pPr>
      <w:r>
        <w:rPr>
          <w:rFonts w:ascii="Arial" w:hAnsi="Arial" w:cs="Arial"/>
        </w:rPr>
        <w:t xml:space="preserve">It is critical that </w:t>
      </w:r>
      <w:r w:rsidRPr="00705497">
        <w:rPr>
          <w:rFonts w:ascii="Arial" w:hAnsi="Arial" w:cs="Arial"/>
        </w:rPr>
        <w:t>e</w:t>
      </w:r>
      <w:r w:rsidR="004C1882" w:rsidRPr="00705497">
        <w:rPr>
          <w:rFonts w:ascii="Arial" w:hAnsi="Arial" w:cs="Arial"/>
        </w:rPr>
        <w:t xml:space="preserve">cological </w:t>
      </w:r>
      <w:r w:rsidR="00A93B78">
        <w:rPr>
          <w:rFonts w:ascii="Arial" w:hAnsi="Arial" w:cs="Arial"/>
        </w:rPr>
        <w:t xml:space="preserve">study </w:t>
      </w:r>
      <w:r w:rsidR="004C1882" w:rsidRPr="00705497">
        <w:rPr>
          <w:rFonts w:ascii="Arial" w:hAnsi="Arial" w:cs="Arial"/>
        </w:rPr>
        <w:t>designs, confounding adjustment</w:t>
      </w:r>
      <w:r w:rsidR="0077630F">
        <w:rPr>
          <w:rFonts w:ascii="Arial" w:hAnsi="Arial" w:cs="Arial"/>
        </w:rPr>
        <w:t>s</w:t>
      </w:r>
      <w:r w:rsidR="004C1882" w:rsidRPr="00705497">
        <w:rPr>
          <w:rFonts w:ascii="Arial" w:hAnsi="Arial" w:cs="Arial"/>
        </w:rPr>
        <w:t xml:space="preserve"> (including co-exposures, nutrition, iodine status), small sample sizes, and context-specific exposures be more explicitly </w:t>
      </w:r>
      <w:proofErr w:type="gramStart"/>
      <w:r w:rsidR="004C1882" w:rsidRPr="00705497">
        <w:rPr>
          <w:rFonts w:ascii="Arial" w:hAnsi="Arial" w:cs="Arial"/>
        </w:rPr>
        <w:t>weighted</w:t>
      </w:r>
      <w:proofErr w:type="gramEnd"/>
      <w:r w:rsidR="004C1882" w:rsidRPr="00705497">
        <w:rPr>
          <w:rFonts w:ascii="Arial" w:hAnsi="Arial" w:cs="Arial"/>
        </w:rPr>
        <w:t xml:space="preserve"> in the human-relevance narrative</w:t>
      </w:r>
      <w:r w:rsidR="004C1882" w:rsidRPr="00425620">
        <w:rPr>
          <w:rFonts w:ascii="Arial" w:hAnsi="Arial" w:cs="Arial"/>
        </w:rPr>
        <w:t>.</w:t>
      </w:r>
      <w:r w:rsidR="008930F1">
        <w:rPr>
          <w:rFonts w:ascii="Arial" w:hAnsi="Arial" w:cs="Arial"/>
        </w:rPr>
        <w:t xml:space="preserve"> For example, t</w:t>
      </w:r>
      <w:r w:rsidR="008930F1" w:rsidRPr="008930F1">
        <w:rPr>
          <w:rFonts w:ascii="Arial" w:hAnsi="Arial" w:cs="Arial"/>
        </w:rPr>
        <w:t>he studies in Mexico raise concerns about the concurrent exposures to lead that were identified</w:t>
      </w:r>
      <w:r w:rsidR="00363A27">
        <w:rPr>
          <w:rFonts w:ascii="Arial" w:hAnsi="Arial" w:cs="Arial"/>
        </w:rPr>
        <w:t>,</w:t>
      </w:r>
      <w:r w:rsidR="008930F1" w:rsidRPr="008930F1">
        <w:rPr>
          <w:rFonts w:ascii="Arial" w:hAnsi="Arial" w:cs="Arial"/>
        </w:rPr>
        <w:t xml:space="preserve"> although putatively controlled for. </w:t>
      </w:r>
      <w:r w:rsidR="00A21B74">
        <w:rPr>
          <w:rFonts w:ascii="Arial" w:hAnsi="Arial" w:cs="Arial"/>
        </w:rPr>
        <w:t>Additionall</w:t>
      </w:r>
      <w:r w:rsidR="00E60698">
        <w:rPr>
          <w:rFonts w:ascii="Arial" w:hAnsi="Arial" w:cs="Arial"/>
        </w:rPr>
        <w:t>y, c</w:t>
      </w:r>
      <w:r w:rsidR="00E60698" w:rsidRPr="00E60698">
        <w:rPr>
          <w:rFonts w:ascii="Arial" w:hAnsi="Arial" w:cs="Arial"/>
        </w:rPr>
        <w:t>lustering in human epidemiological studies (e.g., children nested within villages, schools, or communities) creates the same statistical problem as litter effects in animal studies</w:t>
      </w:r>
      <w:r w:rsidR="008241AE">
        <w:rPr>
          <w:rFonts w:ascii="Arial" w:hAnsi="Arial" w:cs="Arial"/>
        </w:rPr>
        <w:t>,</w:t>
      </w:r>
      <w:r w:rsidR="00E60698">
        <w:rPr>
          <w:rFonts w:ascii="Arial" w:hAnsi="Arial" w:cs="Arial"/>
        </w:rPr>
        <w:t xml:space="preserve"> </w:t>
      </w:r>
      <w:r w:rsidR="00181101">
        <w:rPr>
          <w:rFonts w:ascii="Arial" w:hAnsi="Arial" w:cs="Arial"/>
        </w:rPr>
        <w:t>because</w:t>
      </w:r>
      <w:r w:rsidR="00E60698">
        <w:rPr>
          <w:rFonts w:ascii="Arial" w:hAnsi="Arial" w:cs="Arial"/>
        </w:rPr>
        <w:t xml:space="preserve"> </w:t>
      </w:r>
      <w:r w:rsidR="00E60698" w:rsidRPr="00E60698">
        <w:rPr>
          <w:rFonts w:ascii="Arial" w:hAnsi="Arial" w:cs="Arial"/>
        </w:rPr>
        <w:t xml:space="preserve">individuals within a cluster are correlated, not independent. When clustering is ignored, the result is misleading precision, inflated sample size, and potentially spurious associations. The MIREC (6 cities) and ELEMENT (3 </w:t>
      </w:r>
      <w:r w:rsidR="00013C8F" w:rsidRPr="00E60698">
        <w:rPr>
          <w:rFonts w:ascii="Arial" w:hAnsi="Arial" w:cs="Arial"/>
        </w:rPr>
        <w:t>sub</w:t>
      </w:r>
      <w:r w:rsidR="00181101">
        <w:rPr>
          <w:rFonts w:ascii="Arial" w:hAnsi="Arial" w:cs="Arial"/>
        </w:rPr>
        <w:t>-</w:t>
      </w:r>
      <w:r w:rsidR="00013C8F" w:rsidRPr="00E60698">
        <w:rPr>
          <w:rFonts w:ascii="Arial" w:hAnsi="Arial" w:cs="Arial"/>
        </w:rPr>
        <w:t>cohorts</w:t>
      </w:r>
      <w:r w:rsidR="00E60698" w:rsidRPr="00E60698">
        <w:rPr>
          <w:rFonts w:ascii="Arial" w:hAnsi="Arial" w:cs="Arial"/>
        </w:rPr>
        <w:t xml:space="preserve"> recruited from hospitals) studies did not adequately address clustered observations. </w:t>
      </w:r>
      <w:r w:rsidR="008930F1" w:rsidRPr="008930F1">
        <w:rPr>
          <w:rFonts w:ascii="Arial" w:hAnsi="Arial" w:cs="Arial"/>
        </w:rPr>
        <w:t xml:space="preserve"> </w:t>
      </w:r>
    </w:p>
    <w:p w14:paraId="0C772A08" w14:textId="77777777" w:rsidR="009D718E" w:rsidRPr="009D718E" w:rsidRDefault="00BF56DD" w:rsidP="00990360">
      <w:pPr>
        <w:pStyle w:val="ListParagraph"/>
        <w:numPr>
          <w:ilvl w:val="0"/>
          <w:numId w:val="2"/>
        </w:numPr>
        <w:spacing w:after="160" w:line="259" w:lineRule="auto"/>
        <w:rPr>
          <w:rFonts w:ascii="Arial" w:hAnsi="Arial" w:cs="Arial"/>
        </w:rPr>
      </w:pPr>
      <w:r w:rsidRPr="00990360">
        <w:rPr>
          <w:rFonts w:ascii="Arial" w:hAnsi="Arial" w:cs="Arial"/>
          <w:b/>
          <w:bCs/>
        </w:rPr>
        <w:t>Motor and Sensory Confounding in Cognitive Outcomes</w:t>
      </w:r>
      <w:r w:rsidR="005B109A">
        <w:rPr>
          <w:rFonts w:ascii="Arial" w:hAnsi="Arial" w:cs="Arial"/>
          <w:b/>
          <w:bCs/>
        </w:rPr>
        <w:t xml:space="preserve"> </w:t>
      </w:r>
      <w:bookmarkStart w:id="1" w:name="_Hlk219363318"/>
      <w:r w:rsidR="005B109A" w:rsidRPr="005B109A">
        <w:rPr>
          <w:rFonts w:ascii="Arial" w:hAnsi="Arial" w:cs="Arial"/>
          <w:i/>
          <w:iCs/>
        </w:rPr>
        <w:t xml:space="preserve">(Section 11.1.2.2.1 – </w:t>
      </w:r>
      <w:r w:rsidR="00973C60">
        <w:rPr>
          <w:rFonts w:ascii="Arial" w:hAnsi="Arial" w:cs="Arial"/>
          <w:i/>
          <w:iCs/>
        </w:rPr>
        <w:t xml:space="preserve">Table 24, </w:t>
      </w:r>
      <w:r w:rsidR="000953D2">
        <w:rPr>
          <w:rFonts w:ascii="Arial" w:hAnsi="Arial" w:cs="Arial"/>
          <w:i/>
          <w:iCs/>
        </w:rPr>
        <w:t xml:space="preserve">and </w:t>
      </w:r>
      <w:r w:rsidR="005B109A" w:rsidRPr="005B109A">
        <w:rPr>
          <w:rFonts w:ascii="Arial" w:hAnsi="Arial" w:cs="Arial"/>
          <w:i/>
          <w:iCs/>
        </w:rPr>
        <w:t>p</w:t>
      </w:r>
      <w:r w:rsidR="000953D2">
        <w:rPr>
          <w:rFonts w:ascii="Arial" w:hAnsi="Arial" w:cs="Arial"/>
          <w:i/>
          <w:iCs/>
        </w:rPr>
        <w:t>gs</w:t>
      </w:r>
      <w:r w:rsidR="005B109A" w:rsidRPr="005B109A">
        <w:rPr>
          <w:rFonts w:ascii="Arial" w:hAnsi="Arial" w:cs="Arial"/>
          <w:i/>
          <w:iCs/>
        </w:rPr>
        <w:t>.1</w:t>
      </w:r>
      <w:r w:rsidR="0054488C">
        <w:rPr>
          <w:rFonts w:ascii="Arial" w:hAnsi="Arial" w:cs="Arial"/>
          <w:i/>
          <w:iCs/>
        </w:rPr>
        <w:t>58</w:t>
      </w:r>
      <w:r w:rsidR="000953D2">
        <w:rPr>
          <w:rFonts w:ascii="Arial" w:hAnsi="Arial" w:cs="Arial"/>
          <w:i/>
          <w:iCs/>
        </w:rPr>
        <w:t>-1</w:t>
      </w:r>
      <w:r w:rsidR="00A87898">
        <w:rPr>
          <w:rFonts w:ascii="Arial" w:hAnsi="Arial" w:cs="Arial"/>
          <w:i/>
          <w:iCs/>
        </w:rPr>
        <w:t>59</w:t>
      </w:r>
      <w:r w:rsidR="005B109A" w:rsidRPr="005B109A">
        <w:rPr>
          <w:rFonts w:ascii="Arial" w:hAnsi="Arial" w:cs="Arial"/>
          <w:i/>
          <w:iCs/>
        </w:rPr>
        <w:t>)</w:t>
      </w:r>
      <w:bookmarkEnd w:id="1"/>
    </w:p>
    <w:p w14:paraId="6B414308" w14:textId="52942BC1" w:rsidR="00420DC6" w:rsidRPr="00990360" w:rsidRDefault="00990360" w:rsidP="009D718E">
      <w:pPr>
        <w:pStyle w:val="ListParagraph"/>
        <w:spacing w:after="160" w:line="259" w:lineRule="auto"/>
        <w:rPr>
          <w:rFonts w:ascii="Arial" w:hAnsi="Arial" w:cs="Arial"/>
        </w:rPr>
      </w:pPr>
      <w:r w:rsidRPr="00990360">
        <w:rPr>
          <w:rFonts w:ascii="Arial" w:hAnsi="Arial" w:cs="Arial"/>
        </w:rPr>
        <w:lastRenderedPageBreak/>
        <w:t xml:space="preserve">The </w:t>
      </w:r>
      <w:r>
        <w:rPr>
          <w:rFonts w:ascii="Arial" w:hAnsi="Arial" w:cs="Arial"/>
        </w:rPr>
        <w:t xml:space="preserve">report includes a </w:t>
      </w:r>
      <w:r w:rsidRPr="00990360">
        <w:rPr>
          <w:rFonts w:ascii="Arial" w:hAnsi="Arial" w:cs="Arial"/>
        </w:rPr>
        <w:t>descr</w:t>
      </w:r>
      <w:r w:rsidR="009301B7">
        <w:rPr>
          <w:rFonts w:ascii="Arial" w:hAnsi="Arial" w:cs="Arial"/>
        </w:rPr>
        <w:t>iption of fluoride</w:t>
      </w:r>
      <w:r w:rsidRPr="00990360">
        <w:rPr>
          <w:rFonts w:ascii="Arial" w:hAnsi="Arial" w:cs="Arial"/>
        </w:rPr>
        <w:t xml:space="preserve"> exposures on locomotor function</w:t>
      </w:r>
      <w:r w:rsidR="009301B7">
        <w:rPr>
          <w:rFonts w:ascii="Arial" w:hAnsi="Arial" w:cs="Arial"/>
        </w:rPr>
        <w:t>. However</w:t>
      </w:r>
      <w:r w:rsidR="00807750">
        <w:rPr>
          <w:rFonts w:ascii="Arial" w:hAnsi="Arial" w:cs="Arial"/>
        </w:rPr>
        <w:t>,</w:t>
      </w:r>
      <w:r w:rsidR="009301B7">
        <w:rPr>
          <w:rFonts w:ascii="Arial" w:hAnsi="Arial" w:cs="Arial"/>
        </w:rPr>
        <w:t xml:space="preserve"> it is important to note that this </w:t>
      </w:r>
      <w:r w:rsidRPr="00990360">
        <w:rPr>
          <w:rFonts w:ascii="Arial" w:hAnsi="Arial" w:cs="Arial"/>
        </w:rPr>
        <w:t>may then bias any cognitive tests</w:t>
      </w:r>
      <w:r w:rsidR="008241AE">
        <w:rPr>
          <w:rFonts w:ascii="Arial" w:hAnsi="Arial" w:cs="Arial"/>
        </w:rPr>
        <w:t>,</w:t>
      </w:r>
      <w:r w:rsidRPr="00990360">
        <w:rPr>
          <w:rFonts w:ascii="Arial" w:hAnsi="Arial" w:cs="Arial"/>
        </w:rPr>
        <w:t xml:space="preserve"> </w:t>
      </w:r>
      <w:r w:rsidR="00E97411">
        <w:rPr>
          <w:rFonts w:ascii="Arial" w:hAnsi="Arial" w:cs="Arial"/>
        </w:rPr>
        <w:t>as</w:t>
      </w:r>
      <w:r w:rsidRPr="00990360">
        <w:rPr>
          <w:rFonts w:ascii="Arial" w:hAnsi="Arial" w:cs="Arial"/>
        </w:rPr>
        <w:t xml:space="preserve"> these require motor function. Correlations across these measures could have assisted in </w:t>
      </w:r>
      <w:r w:rsidR="00DE36EC">
        <w:rPr>
          <w:rFonts w:ascii="Arial" w:hAnsi="Arial" w:cs="Arial"/>
        </w:rPr>
        <w:t>grounding any conclusions based on this data</w:t>
      </w:r>
      <w:r w:rsidRPr="00990360">
        <w:rPr>
          <w:rFonts w:ascii="Arial" w:hAnsi="Arial" w:cs="Arial"/>
        </w:rPr>
        <w:t xml:space="preserve">. Similar conclusions would be pertinent to any loss of sensory </w:t>
      </w:r>
      <w:r w:rsidR="00F37CD4" w:rsidRPr="00990360">
        <w:rPr>
          <w:rFonts w:ascii="Arial" w:hAnsi="Arial" w:cs="Arial"/>
        </w:rPr>
        <w:t>function,</w:t>
      </w:r>
      <w:r w:rsidRPr="00990360">
        <w:rPr>
          <w:rFonts w:ascii="Arial" w:hAnsi="Arial" w:cs="Arial"/>
        </w:rPr>
        <w:t xml:space="preserve"> but this </w:t>
      </w:r>
      <w:r w:rsidR="007A3FF7">
        <w:rPr>
          <w:rFonts w:ascii="Arial" w:hAnsi="Arial" w:cs="Arial"/>
        </w:rPr>
        <w:t xml:space="preserve">also </w:t>
      </w:r>
      <w:r w:rsidRPr="00990360">
        <w:rPr>
          <w:rFonts w:ascii="Arial" w:hAnsi="Arial" w:cs="Arial"/>
        </w:rPr>
        <w:t xml:space="preserve">does not appear to have been addressed in </w:t>
      </w:r>
      <w:r w:rsidR="00FD4C90">
        <w:rPr>
          <w:rFonts w:ascii="Arial" w:hAnsi="Arial" w:cs="Arial"/>
        </w:rPr>
        <w:t>the report</w:t>
      </w:r>
      <w:r w:rsidRPr="00990360">
        <w:rPr>
          <w:rFonts w:ascii="Arial" w:hAnsi="Arial" w:cs="Arial"/>
        </w:rPr>
        <w:t xml:space="preserve">. </w:t>
      </w:r>
      <w:r w:rsidR="00F37CD4">
        <w:rPr>
          <w:rFonts w:ascii="Arial" w:hAnsi="Arial" w:cs="Arial"/>
        </w:rPr>
        <w:t>Furthermore, t</w:t>
      </w:r>
      <w:r w:rsidRPr="00990360">
        <w:rPr>
          <w:rFonts w:ascii="Arial" w:hAnsi="Arial" w:cs="Arial"/>
        </w:rPr>
        <w:t xml:space="preserve">he report largely </w:t>
      </w:r>
      <w:r w:rsidRPr="00F37CD4">
        <w:rPr>
          <w:rFonts w:ascii="Arial" w:hAnsi="Arial" w:cs="Arial"/>
          <w:i/>
          <w:iCs/>
        </w:rPr>
        <w:t>minimizes these effects</w:t>
      </w:r>
      <w:r w:rsidRPr="00990360">
        <w:rPr>
          <w:rFonts w:ascii="Arial" w:hAnsi="Arial" w:cs="Arial"/>
        </w:rPr>
        <w:t xml:space="preserve"> by concluding that changes in </w:t>
      </w:r>
      <w:r w:rsidR="002A01B8">
        <w:rPr>
          <w:rFonts w:ascii="Arial" w:hAnsi="Arial" w:cs="Arial"/>
        </w:rPr>
        <w:t xml:space="preserve">the </w:t>
      </w:r>
      <w:r w:rsidRPr="00990360">
        <w:rPr>
          <w:rFonts w:ascii="Arial" w:hAnsi="Arial" w:cs="Arial"/>
        </w:rPr>
        <w:t xml:space="preserve">hippocampal and prefrontal cortex in neuroanatomical, functional and cellular modifications were seen. </w:t>
      </w:r>
      <w:r w:rsidR="002603B2">
        <w:rPr>
          <w:rFonts w:ascii="Arial" w:hAnsi="Arial" w:cs="Arial"/>
        </w:rPr>
        <w:t xml:space="preserve">Again, these conclusions are overstated. </w:t>
      </w:r>
    </w:p>
    <w:p w14:paraId="2C5AB8C5" w14:textId="77777777" w:rsidR="001344D5" w:rsidRDefault="001F7B90" w:rsidP="007744B7">
      <w:pPr>
        <w:pStyle w:val="ListParagraph"/>
        <w:numPr>
          <w:ilvl w:val="0"/>
          <w:numId w:val="2"/>
        </w:numPr>
        <w:spacing w:after="160" w:line="259" w:lineRule="auto"/>
        <w:rPr>
          <w:rFonts w:ascii="Arial" w:hAnsi="Arial" w:cs="Arial"/>
        </w:rPr>
      </w:pPr>
      <w:r w:rsidRPr="00832F15">
        <w:rPr>
          <w:rFonts w:ascii="Arial" w:hAnsi="Arial" w:cs="Arial"/>
          <w:b/>
          <w:bCs/>
        </w:rPr>
        <w:t xml:space="preserve">Lacking </w:t>
      </w:r>
      <w:r w:rsidR="00CC74A2" w:rsidRPr="00832F15">
        <w:rPr>
          <w:rFonts w:ascii="Arial" w:hAnsi="Arial" w:cs="Arial"/>
          <w:b/>
          <w:bCs/>
        </w:rPr>
        <w:t>analys</w:t>
      </w:r>
      <w:r w:rsidR="00CC74A2">
        <w:rPr>
          <w:rFonts w:ascii="Arial" w:hAnsi="Arial" w:cs="Arial"/>
          <w:b/>
          <w:bCs/>
        </w:rPr>
        <w:t>is</w:t>
      </w:r>
      <w:r w:rsidR="00856C8B" w:rsidRPr="00832F15">
        <w:rPr>
          <w:rFonts w:ascii="Arial" w:hAnsi="Arial" w:cs="Arial"/>
          <w:b/>
          <w:bCs/>
        </w:rPr>
        <w:t xml:space="preserve"> of levels of exposure</w:t>
      </w:r>
      <w:r w:rsidR="006D398B">
        <w:rPr>
          <w:rFonts w:ascii="Arial" w:hAnsi="Arial" w:cs="Arial"/>
          <w:b/>
          <w:bCs/>
        </w:rPr>
        <w:t xml:space="preserve"> </w:t>
      </w:r>
      <w:r w:rsidR="006D398B" w:rsidRPr="006D398B">
        <w:rPr>
          <w:rFonts w:ascii="Arial" w:hAnsi="Arial" w:cs="Arial"/>
          <w:i/>
          <w:iCs/>
        </w:rPr>
        <w:t xml:space="preserve">(Section 11.1.2.2.1 – </w:t>
      </w:r>
      <w:r w:rsidR="001E59F8">
        <w:rPr>
          <w:rFonts w:ascii="Arial" w:hAnsi="Arial" w:cs="Arial"/>
          <w:i/>
          <w:iCs/>
        </w:rPr>
        <w:t>p.139</w:t>
      </w:r>
      <w:r w:rsidR="006D398B" w:rsidRPr="006D398B">
        <w:rPr>
          <w:rFonts w:ascii="Arial" w:hAnsi="Arial" w:cs="Arial"/>
          <w:i/>
          <w:iCs/>
        </w:rPr>
        <w:t>)</w:t>
      </w:r>
      <w:r w:rsidR="00856C8B">
        <w:rPr>
          <w:rFonts w:ascii="Arial" w:hAnsi="Arial" w:cs="Arial"/>
        </w:rPr>
        <w:t xml:space="preserve"> </w:t>
      </w:r>
    </w:p>
    <w:p w14:paraId="2E311051" w14:textId="2FCED1FE" w:rsidR="00EC316E" w:rsidRPr="007744B7" w:rsidRDefault="00832F15" w:rsidP="001344D5">
      <w:pPr>
        <w:pStyle w:val="ListParagraph"/>
        <w:spacing w:after="160" w:line="259" w:lineRule="auto"/>
        <w:rPr>
          <w:rFonts w:ascii="Arial" w:hAnsi="Arial" w:cs="Arial"/>
        </w:rPr>
      </w:pPr>
      <w:r>
        <w:rPr>
          <w:rFonts w:ascii="Arial" w:hAnsi="Arial" w:cs="Arial"/>
        </w:rPr>
        <w:t>T</w:t>
      </w:r>
      <w:r w:rsidRPr="00832F15">
        <w:rPr>
          <w:rFonts w:ascii="Arial" w:hAnsi="Arial" w:cs="Arial"/>
        </w:rPr>
        <w:t>here is no discussion of the levels of exposure at which concerns are evident</w:t>
      </w:r>
      <w:r w:rsidR="00775CFA">
        <w:rPr>
          <w:rFonts w:ascii="Arial" w:hAnsi="Arial" w:cs="Arial"/>
        </w:rPr>
        <w:t>. Additionally,</w:t>
      </w:r>
      <w:r w:rsidRPr="00832F15">
        <w:rPr>
          <w:rFonts w:ascii="Arial" w:hAnsi="Arial" w:cs="Arial"/>
        </w:rPr>
        <w:t xml:space="preserve"> no concentration-effect curve </w:t>
      </w:r>
      <w:r w:rsidR="00081DF4">
        <w:rPr>
          <w:rFonts w:ascii="Arial" w:hAnsi="Arial" w:cs="Arial"/>
        </w:rPr>
        <w:t>i</w:t>
      </w:r>
      <w:r w:rsidR="00561CCB">
        <w:rPr>
          <w:rFonts w:ascii="Arial" w:hAnsi="Arial" w:cs="Arial"/>
        </w:rPr>
        <w:t xml:space="preserve">s </w:t>
      </w:r>
      <w:proofErr w:type="gramStart"/>
      <w:r w:rsidR="000133E7" w:rsidRPr="00832F15">
        <w:rPr>
          <w:rFonts w:ascii="Arial" w:hAnsi="Arial" w:cs="Arial"/>
        </w:rPr>
        <w:t>presented</w:t>
      </w:r>
      <w:proofErr w:type="gramEnd"/>
      <w:r w:rsidR="000133E7">
        <w:rPr>
          <w:rFonts w:ascii="Arial" w:hAnsi="Arial" w:cs="Arial"/>
        </w:rPr>
        <w:t xml:space="preserve"> </w:t>
      </w:r>
      <w:r w:rsidRPr="00832F15">
        <w:rPr>
          <w:rFonts w:ascii="Arial" w:hAnsi="Arial" w:cs="Arial"/>
        </w:rPr>
        <w:t xml:space="preserve">and no forest plots </w:t>
      </w:r>
      <w:r>
        <w:rPr>
          <w:rFonts w:ascii="Arial" w:hAnsi="Arial" w:cs="Arial"/>
        </w:rPr>
        <w:t xml:space="preserve">are </w:t>
      </w:r>
      <w:r w:rsidRPr="00832F15">
        <w:rPr>
          <w:rFonts w:ascii="Arial" w:hAnsi="Arial" w:cs="Arial"/>
        </w:rPr>
        <w:t>shown</w:t>
      </w:r>
      <w:r>
        <w:rPr>
          <w:rFonts w:ascii="Arial" w:hAnsi="Arial" w:cs="Arial"/>
        </w:rPr>
        <w:t>.</w:t>
      </w:r>
      <w:r w:rsidR="004C1882" w:rsidRPr="00425620">
        <w:rPr>
          <w:rFonts w:ascii="Arial" w:hAnsi="Arial" w:cs="Arial"/>
        </w:rPr>
        <w:t xml:space="preserve"> </w:t>
      </w:r>
      <w:r w:rsidR="00561CCB">
        <w:rPr>
          <w:rFonts w:ascii="Arial" w:hAnsi="Arial" w:cs="Arial"/>
        </w:rPr>
        <w:t>Furthermore</w:t>
      </w:r>
      <w:r w:rsidR="00561CCB" w:rsidRPr="00561CCB">
        <w:rPr>
          <w:rFonts w:ascii="Arial" w:hAnsi="Arial" w:cs="Arial"/>
        </w:rPr>
        <w:t xml:space="preserve">, in one study in which maternal urinary fluoride was collected and in which fluoridated water concentrations were 0.81 mg/l, there </w:t>
      </w:r>
      <w:r w:rsidR="000133E7">
        <w:rPr>
          <w:rFonts w:ascii="Arial" w:hAnsi="Arial" w:cs="Arial"/>
        </w:rPr>
        <w:t>i</w:t>
      </w:r>
      <w:r w:rsidR="00561CCB" w:rsidRPr="00561CCB">
        <w:rPr>
          <w:rFonts w:ascii="Arial" w:hAnsi="Arial" w:cs="Arial"/>
        </w:rPr>
        <w:t>s an opposite effect of what was seen in other studies</w:t>
      </w:r>
      <w:r w:rsidR="00A529E8">
        <w:rPr>
          <w:rFonts w:ascii="Arial" w:hAnsi="Arial" w:cs="Arial"/>
        </w:rPr>
        <w:t xml:space="preserve">. </w:t>
      </w:r>
      <w:r w:rsidR="00561CCB" w:rsidRPr="00561CCB">
        <w:rPr>
          <w:rFonts w:ascii="Arial" w:hAnsi="Arial" w:cs="Arial"/>
        </w:rPr>
        <w:t>There was no discussion as to what this discrepancy might reflect.</w:t>
      </w:r>
    </w:p>
    <w:p w14:paraId="61D41051" w14:textId="2F6F1996" w:rsidR="004447BC" w:rsidRDefault="00F07DD5" w:rsidP="000E3C09">
      <w:pPr>
        <w:pStyle w:val="ListParagraph"/>
        <w:numPr>
          <w:ilvl w:val="0"/>
          <w:numId w:val="2"/>
        </w:numPr>
        <w:rPr>
          <w:rFonts w:ascii="Arial" w:hAnsi="Arial" w:cs="Arial"/>
        </w:rPr>
      </w:pPr>
      <w:r>
        <w:rPr>
          <w:rFonts w:ascii="Arial" w:hAnsi="Arial" w:cs="Arial"/>
          <w:b/>
          <w:bCs/>
        </w:rPr>
        <w:t>Selective Reporting</w:t>
      </w:r>
      <w:r w:rsidR="0029145C">
        <w:rPr>
          <w:rFonts w:ascii="Arial" w:hAnsi="Arial" w:cs="Arial"/>
          <w:b/>
          <w:bCs/>
        </w:rPr>
        <w:t xml:space="preserve"> and</w:t>
      </w:r>
      <w:r>
        <w:rPr>
          <w:rFonts w:ascii="Arial" w:hAnsi="Arial" w:cs="Arial"/>
          <w:b/>
          <w:bCs/>
        </w:rPr>
        <w:t xml:space="preserve"> Publication Bias</w:t>
      </w:r>
      <w:r w:rsidR="006116EA">
        <w:rPr>
          <w:rFonts w:ascii="Arial" w:hAnsi="Arial" w:cs="Arial"/>
          <w:b/>
          <w:bCs/>
        </w:rPr>
        <w:t xml:space="preserve"> </w:t>
      </w:r>
      <w:r w:rsidR="006116EA" w:rsidRPr="006116EA">
        <w:rPr>
          <w:rFonts w:ascii="Arial" w:hAnsi="Arial" w:cs="Arial"/>
          <w:i/>
          <w:iCs/>
        </w:rPr>
        <w:t>(Section 11.1.2.2.1</w:t>
      </w:r>
      <w:r w:rsidR="00064C54">
        <w:rPr>
          <w:rFonts w:ascii="Arial" w:hAnsi="Arial" w:cs="Arial"/>
          <w:i/>
          <w:iCs/>
        </w:rPr>
        <w:t xml:space="preserve"> – Table 23</w:t>
      </w:r>
      <w:r w:rsidR="006116EA" w:rsidRPr="006116EA">
        <w:rPr>
          <w:rFonts w:ascii="Arial" w:hAnsi="Arial" w:cs="Arial"/>
          <w:i/>
          <w:iCs/>
        </w:rPr>
        <w:t>)</w:t>
      </w:r>
    </w:p>
    <w:p w14:paraId="681A92EA" w14:textId="3A7674DB" w:rsidR="004447BC" w:rsidRPr="004447BC" w:rsidRDefault="0063489F" w:rsidP="001344D5">
      <w:pPr>
        <w:ind w:left="720"/>
        <w:rPr>
          <w:rFonts w:ascii="Arial" w:hAnsi="Arial" w:cs="Arial"/>
        </w:rPr>
      </w:pPr>
      <w:r w:rsidRPr="004447BC">
        <w:rPr>
          <w:rFonts w:ascii="Arial" w:hAnsi="Arial" w:cs="Arial"/>
        </w:rPr>
        <w:t xml:space="preserve">(i). </w:t>
      </w:r>
      <w:r w:rsidR="000E3C09" w:rsidRPr="004447BC">
        <w:rPr>
          <w:rFonts w:ascii="Arial" w:hAnsi="Arial" w:cs="Arial"/>
        </w:rPr>
        <w:t>The report asserts that “the assessment of evidence for neurodevelopmental toxicity allows the inclusion of eight studies of good quality and reliability (</w:t>
      </w:r>
      <w:r w:rsidR="009C265D">
        <w:rPr>
          <w:rFonts w:ascii="Arial" w:hAnsi="Arial" w:cs="Arial"/>
        </w:rPr>
        <w:t>T</w:t>
      </w:r>
      <w:r w:rsidR="000E3C09" w:rsidRPr="004447BC">
        <w:rPr>
          <w:rFonts w:ascii="Arial" w:hAnsi="Arial" w:cs="Arial"/>
        </w:rPr>
        <w:t>able 23)”</w:t>
      </w:r>
      <w:r w:rsidR="009C4A58">
        <w:rPr>
          <w:rFonts w:ascii="Arial" w:hAnsi="Arial" w:cs="Arial"/>
        </w:rPr>
        <w:t>.  H</w:t>
      </w:r>
      <w:r w:rsidR="000E3C09" w:rsidRPr="004447BC">
        <w:rPr>
          <w:rFonts w:ascii="Arial" w:hAnsi="Arial" w:cs="Arial"/>
        </w:rPr>
        <w:t>owever</w:t>
      </w:r>
      <w:r w:rsidR="002A01B8">
        <w:rPr>
          <w:rFonts w:ascii="Arial" w:hAnsi="Arial" w:cs="Arial"/>
        </w:rPr>
        <w:t>,</w:t>
      </w:r>
      <w:r w:rsidR="000E3C09" w:rsidRPr="004447BC">
        <w:rPr>
          <w:rFonts w:ascii="Arial" w:hAnsi="Arial" w:cs="Arial"/>
        </w:rPr>
        <w:t xml:space="preserve"> it omits the Odense Childhood Cohort study in Denmark, which found no association between maternal urinary fluoride and children’s IQ.</w:t>
      </w:r>
    </w:p>
    <w:p w14:paraId="3F8A0EB3" w14:textId="4030435D" w:rsidR="001C1C07" w:rsidRPr="004447BC" w:rsidRDefault="0063489F" w:rsidP="001D4BBE">
      <w:pPr>
        <w:ind w:left="720"/>
        <w:rPr>
          <w:rFonts w:ascii="Arial" w:hAnsi="Arial" w:cs="Arial"/>
        </w:rPr>
      </w:pPr>
      <w:r w:rsidRPr="004447BC">
        <w:rPr>
          <w:rFonts w:ascii="Arial" w:hAnsi="Arial" w:cs="Arial"/>
        </w:rPr>
        <w:t>(ii). H</w:t>
      </w:r>
      <w:r w:rsidR="004C1882" w:rsidRPr="004447BC">
        <w:rPr>
          <w:rFonts w:ascii="Arial" w:hAnsi="Arial" w:cs="Arial"/>
        </w:rPr>
        <w:t>igher-quality longitudinal and quasi-experimental studies that report null or inconsistent associations in exposure ranges relevant to community prevention contexts</w:t>
      </w:r>
      <w:r w:rsidR="007B17B5" w:rsidRPr="004447BC">
        <w:rPr>
          <w:rFonts w:ascii="Arial" w:hAnsi="Arial" w:cs="Arial"/>
        </w:rPr>
        <w:t xml:space="preserve"> </w:t>
      </w:r>
      <w:r w:rsidR="006864EE" w:rsidRPr="004447BC">
        <w:rPr>
          <w:rFonts w:ascii="Arial" w:hAnsi="Arial" w:cs="Arial"/>
        </w:rPr>
        <w:t>were also excluded</w:t>
      </w:r>
      <w:r w:rsidR="001C1C07" w:rsidRPr="004447BC">
        <w:rPr>
          <w:rFonts w:ascii="Arial" w:hAnsi="Arial" w:cs="Arial"/>
        </w:rPr>
        <w:t xml:space="preserve"> within the CL</w:t>
      </w:r>
      <w:r w:rsidR="00B859D4" w:rsidRPr="004447BC">
        <w:rPr>
          <w:rFonts w:ascii="Arial" w:hAnsi="Arial" w:cs="Arial"/>
        </w:rPr>
        <w:t>H</w:t>
      </w:r>
      <w:r w:rsidR="001C1C07" w:rsidRPr="004447BC">
        <w:rPr>
          <w:rFonts w:ascii="Arial" w:hAnsi="Arial" w:cs="Arial"/>
        </w:rPr>
        <w:t xml:space="preserve"> report analyses</w:t>
      </w:r>
      <w:r w:rsidR="009D5128">
        <w:rPr>
          <w:rFonts w:ascii="Arial" w:hAnsi="Arial" w:cs="Arial"/>
        </w:rPr>
        <w:t xml:space="preserve"> and should be included</w:t>
      </w:r>
      <w:r w:rsidR="001C1C07" w:rsidRPr="004447BC">
        <w:rPr>
          <w:rFonts w:ascii="Arial" w:hAnsi="Arial" w:cs="Arial"/>
        </w:rPr>
        <w:t>:</w:t>
      </w:r>
    </w:p>
    <w:p w14:paraId="46C15BCA" w14:textId="77777777" w:rsidR="00CC102E" w:rsidRDefault="00CC102E" w:rsidP="00CC102E">
      <w:pPr>
        <w:pStyle w:val="ListParagraph"/>
        <w:numPr>
          <w:ilvl w:val="1"/>
          <w:numId w:val="2"/>
        </w:numPr>
        <w:spacing w:line="259" w:lineRule="auto"/>
        <w:rPr>
          <w:rFonts w:ascii="Arial" w:hAnsi="Arial" w:cs="Arial"/>
        </w:rPr>
      </w:pPr>
      <w:proofErr w:type="spellStart"/>
      <w:r w:rsidRPr="00A909B3">
        <w:rPr>
          <w:rFonts w:ascii="Arial" w:hAnsi="Arial" w:cs="Arial"/>
        </w:rPr>
        <w:t>Aggeborn</w:t>
      </w:r>
      <w:proofErr w:type="spellEnd"/>
      <w:r w:rsidRPr="00A909B3">
        <w:rPr>
          <w:rFonts w:ascii="Arial" w:hAnsi="Arial" w:cs="Arial"/>
        </w:rPr>
        <w:t xml:space="preserve"> L, Öhman M. </w:t>
      </w:r>
      <w:r>
        <w:rPr>
          <w:rFonts w:ascii="Arial" w:hAnsi="Arial" w:cs="Arial"/>
        </w:rPr>
        <w:t xml:space="preserve">(2021). </w:t>
      </w:r>
      <w:r w:rsidRPr="00A909B3">
        <w:rPr>
          <w:rFonts w:ascii="Arial" w:hAnsi="Arial" w:cs="Arial"/>
        </w:rPr>
        <w:t xml:space="preserve">The effects of fluoride in drinking water. Journal of Political Economy. 129(2):465-491. </w:t>
      </w:r>
    </w:p>
    <w:p w14:paraId="6A9CCA56" w14:textId="3E4CE796" w:rsidR="00C5688E" w:rsidRPr="00C5688E" w:rsidRDefault="00C5688E" w:rsidP="00C5688E">
      <w:pPr>
        <w:pStyle w:val="ListParagraph"/>
        <w:numPr>
          <w:ilvl w:val="1"/>
          <w:numId w:val="2"/>
        </w:numPr>
        <w:spacing w:line="259" w:lineRule="auto"/>
        <w:rPr>
          <w:rFonts w:ascii="Arial" w:hAnsi="Arial" w:cs="Arial"/>
        </w:rPr>
      </w:pPr>
      <w:r w:rsidRPr="00C5688E">
        <w:rPr>
          <w:rFonts w:ascii="Arial" w:hAnsi="Arial" w:cs="Arial"/>
        </w:rPr>
        <w:t xml:space="preserve">Broadbent JM, Thomson WM, </w:t>
      </w:r>
      <w:proofErr w:type="spellStart"/>
      <w:r w:rsidRPr="00C5688E">
        <w:rPr>
          <w:rFonts w:ascii="Arial" w:hAnsi="Arial" w:cs="Arial"/>
        </w:rPr>
        <w:t>Ramrakha</w:t>
      </w:r>
      <w:proofErr w:type="spellEnd"/>
      <w:r w:rsidRPr="00C5688E">
        <w:rPr>
          <w:rFonts w:ascii="Arial" w:hAnsi="Arial" w:cs="Arial"/>
        </w:rPr>
        <w:t xml:space="preserve"> S, Moffitt TE, Zeng J, Foster Page LA, Poulton R. </w:t>
      </w:r>
      <w:r>
        <w:rPr>
          <w:rFonts w:ascii="Arial" w:hAnsi="Arial" w:cs="Arial"/>
        </w:rPr>
        <w:t xml:space="preserve">(2015). </w:t>
      </w:r>
      <w:r w:rsidRPr="00C5688E">
        <w:rPr>
          <w:rFonts w:ascii="Arial" w:hAnsi="Arial" w:cs="Arial"/>
        </w:rPr>
        <w:t xml:space="preserve">Community Water Fluoridation and Intelligence: Prospective Study in New Zealand. </w:t>
      </w:r>
      <w:proofErr w:type="gramStart"/>
      <w:r w:rsidRPr="00C5688E">
        <w:rPr>
          <w:rFonts w:ascii="Arial" w:hAnsi="Arial" w:cs="Arial"/>
        </w:rPr>
        <w:t>Am</w:t>
      </w:r>
      <w:proofErr w:type="gramEnd"/>
      <w:r w:rsidRPr="00C5688E">
        <w:rPr>
          <w:rFonts w:ascii="Arial" w:hAnsi="Arial" w:cs="Arial"/>
        </w:rPr>
        <w:t xml:space="preserve"> J Public Health. 105(1):72-76. </w:t>
      </w:r>
    </w:p>
    <w:p w14:paraId="5969EC27" w14:textId="13A8ECB1" w:rsidR="001C1C07" w:rsidRDefault="003644C5" w:rsidP="001C1C07">
      <w:pPr>
        <w:pStyle w:val="ListParagraph"/>
        <w:numPr>
          <w:ilvl w:val="1"/>
          <w:numId w:val="2"/>
        </w:numPr>
        <w:spacing w:line="259" w:lineRule="auto"/>
        <w:rPr>
          <w:rFonts w:ascii="Arial" w:hAnsi="Arial" w:cs="Arial"/>
        </w:rPr>
      </w:pPr>
      <w:r w:rsidRPr="003644C5">
        <w:rPr>
          <w:rFonts w:ascii="Arial" w:hAnsi="Arial" w:cs="Arial"/>
        </w:rPr>
        <w:t xml:space="preserve">Dewey D, England-Mason G, Ntanda H, Deane AJ, Jain M, </w:t>
      </w:r>
      <w:proofErr w:type="spellStart"/>
      <w:r w:rsidRPr="003644C5">
        <w:rPr>
          <w:rFonts w:ascii="Arial" w:hAnsi="Arial" w:cs="Arial"/>
        </w:rPr>
        <w:t>Barnieh</w:t>
      </w:r>
      <w:proofErr w:type="spellEnd"/>
      <w:r w:rsidRPr="003644C5">
        <w:rPr>
          <w:rFonts w:ascii="Arial" w:hAnsi="Arial" w:cs="Arial"/>
        </w:rPr>
        <w:t xml:space="preserve"> N, Giesbrecht GF, Letourneau N; </w:t>
      </w:r>
      <w:proofErr w:type="spellStart"/>
      <w:r w:rsidRPr="003644C5">
        <w:rPr>
          <w:rFonts w:ascii="Arial" w:hAnsi="Arial" w:cs="Arial"/>
        </w:rPr>
        <w:t>APrON</w:t>
      </w:r>
      <w:proofErr w:type="spellEnd"/>
      <w:r w:rsidRPr="003644C5">
        <w:rPr>
          <w:rFonts w:ascii="Arial" w:hAnsi="Arial" w:cs="Arial"/>
        </w:rPr>
        <w:t xml:space="preserve"> Study Team. </w:t>
      </w:r>
      <w:r>
        <w:rPr>
          <w:rFonts w:ascii="Arial" w:hAnsi="Arial" w:cs="Arial"/>
        </w:rPr>
        <w:t xml:space="preserve">(2023). </w:t>
      </w:r>
      <w:r w:rsidRPr="003644C5">
        <w:rPr>
          <w:rFonts w:ascii="Arial" w:hAnsi="Arial" w:cs="Arial"/>
        </w:rPr>
        <w:t xml:space="preserve">Fluoride exposure during pregnancy from a community water supply is associated with executive function in preschool children: A prospective ecological cohort study. Sci Total Environ. 891:164322. </w:t>
      </w:r>
    </w:p>
    <w:p w14:paraId="48DAE240" w14:textId="7B35C2EC" w:rsidR="00D17555" w:rsidRDefault="00D17555" w:rsidP="00D17555">
      <w:pPr>
        <w:pStyle w:val="ListParagraph"/>
        <w:numPr>
          <w:ilvl w:val="1"/>
          <w:numId w:val="2"/>
        </w:numPr>
        <w:spacing w:line="259" w:lineRule="auto"/>
        <w:rPr>
          <w:rFonts w:ascii="Arial" w:hAnsi="Arial" w:cs="Arial"/>
        </w:rPr>
      </w:pPr>
      <w:r w:rsidRPr="00D17555">
        <w:rPr>
          <w:rFonts w:ascii="Arial" w:hAnsi="Arial" w:cs="Arial"/>
        </w:rPr>
        <w:t xml:space="preserve">Warren JR, Rumore G, Kim S, Grodsky E, Muller C, Manly JJ, Brickman AM. </w:t>
      </w:r>
      <w:r w:rsidR="003644C5">
        <w:rPr>
          <w:rFonts w:ascii="Arial" w:hAnsi="Arial" w:cs="Arial"/>
        </w:rPr>
        <w:t xml:space="preserve">(2025). </w:t>
      </w:r>
      <w:r w:rsidRPr="00D17555">
        <w:rPr>
          <w:rFonts w:ascii="Arial" w:hAnsi="Arial" w:cs="Arial"/>
        </w:rPr>
        <w:t>Childhood fluoride exposure and cognition across the life course. Sci Adv. 11(47</w:t>
      </w:r>
      <w:proofErr w:type="gramStart"/>
      <w:r w:rsidRPr="00D17555">
        <w:rPr>
          <w:rFonts w:ascii="Arial" w:hAnsi="Arial" w:cs="Arial"/>
        </w:rPr>
        <w:t>):eadz</w:t>
      </w:r>
      <w:proofErr w:type="gramEnd"/>
      <w:r w:rsidRPr="00D17555">
        <w:rPr>
          <w:rFonts w:ascii="Arial" w:hAnsi="Arial" w:cs="Arial"/>
        </w:rPr>
        <w:t xml:space="preserve">0757. </w:t>
      </w:r>
    </w:p>
    <w:p w14:paraId="74F90738" w14:textId="5B4ADCB3" w:rsidR="004447BC" w:rsidRDefault="0063489F" w:rsidP="0036565C">
      <w:pPr>
        <w:spacing w:line="259" w:lineRule="auto"/>
        <w:ind w:left="720"/>
        <w:rPr>
          <w:rFonts w:ascii="Arial" w:hAnsi="Arial" w:cs="Arial"/>
        </w:rPr>
      </w:pPr>
      <w:r>
        <w:rPr>
          <w:rFonts w:ascii="Arial" w:hAnsi="Arial" w:cs="Arial"/>
        </w:rPr>
        <w:lastRenderedPageBreak/>
        <w:t xml:space="preserve">(iii). </w:t>
      </w:r>
      <w:r w:rsidR="00504929">
        <w:rPr>
          <w:rFonts w:ascii="Arial" w:hAnsi="Arial" w:cs="Arial"/>
        </w:rPr>
        <w:t xml:space="preserve">The </w:t>
      </w:r>
      <w:r w:rsidR="00504929" w:rsidRPr="00504929">
        <w:rPr>
          <w:rFonts w:ascii="Arial" w:hAnsi="Arial" w:cs="Arial"/>
        </w:rPr>
        <w:t xml:space="preserve">MIREC study </w:t>
      </w:r>
      <w:r w:rsidR="00504929">
        <w:rPr>
          <w:rFonts w:ascii="Arial" w:hAnsi="Arial" w:cs="Arial"/>
        </w:rPr>
        <w:t xml:space="preserve">was sliced into </w:t>
      </w:r>
      <w:r w:rsidR="00504929" w:rsidRPr="00504929">
        <w:rPr>
          <w:rFonts w:ascii="Arial" w:hAnsi="Arial" w:cs="Arial"/>
        </w:rPr>
        <w:t xml:space="preserve">8 publications. </w:t>
      </w:r>
      <w:r w:rsidR="00504929">
        <w:rPr>
          <w:rFonts w:ascii="Arial" w:hAnsi="Arial" w:cs="Arial"/>
        </w:rPr>
        <w:t>However,</w:t>
      </w:r>
      <w:r>
        <w:rPr>
          <w:rFonts w:ascii="Arial" w:hAnsi="Arial" w:cs="Arial"/>
        </w:rPr>
        <w:t xml:space="preserve"> it is important to note that</w:t>
      </w:r>
      <w:r w:rsidR="00504929" w:rsidRPr="00504929">
        <w:rPr>
          <w:rFonts w:ascii="Arial" w:hAnsi="Arial" w:cs="Arial"/>
        </w:rPr>
        <w:t xml:space="preserve"> the mean IQ score was 108 in fluoridated and 108 in non-fluoridated communities. </w:t>
      </w:r>
      <w:r w:rsidR="00504929" w:rsidRPr="00A529E8">
        <w:rPr>
          <w:rFonts w:ascii="Arial" w:hAnsi="Arial" w:cs="Arial"/>
          <w:b/>
          <w:bCs/>
        </w:rPr>
        <w:t xml:space="preserve">Therefore, IQ </w:t>
      </w:r>
      <w:r w:rsidR="008067A7" w:rsidRPr="00A529E8">
        <w:rPr>
          <w:rFonts w:ascii="Arial" w:hAnsi="Arial" w:cs="Arial"/>
          <w:b/>
          <w:bCs/>
        </w:rPr>
        <w:t>wa</w:t>
      </w:r>
      <w:r w:rsidR="00504929" w:rsidRPr="00A529E8">
        <w:rPr>
          <w:rFonts w:ascii="Arial" w:hAnsi="Arial" w:cs="Arial"/>
          <w:b/>
          <w:bCs/>
        </w:rPr>
        <w:t>s not a public health concern in this convenience sample.</w:t>
      </w:r>
      <w:r w:rsidR="0036565C" w:rsidRPr="00A529E8">
        <w:rPr>
          <w:rFonts w:ascii="Arial" w:hAnsi="Arial" w:cs="Arial"/>
          <w:b/>
          <w:bCs/>
        </w:rPr>
        <w:t xml:space="preserve"> </w:t>
      </w:r>
    </w:p>
    <w:p w14:paraId="124A0237" w14:textId="5860BBA8" w:rsidR="00276FAC" w:rsidRPr="00276FAC" w:rsidRDefault="00DC1FB1" w:rsidP="0036565C">
      <w:pPr>
        <w:spacing w:line="259" w:lineRule="auto"/>
        <w:ind w:left="720"/>
        <w:rPr>
          <w:rFonts w:ascii="Arial" w:hAnsi="Arial" w:cs="Arial"/>
        </w:rPr>
      </w:pPr>
      <w:r>
        <w:rPr>
          <w:rFonts w:ascii="Arial" w:hAnsi="Arial" w:cs="Arial"/>
        </w:rPr>
        <w:t xml:space="preserve">(iv). </w:t>
      </w:r>
      <w:r w:rsidR="00631E54">
        <w:rPr>
          <w:rFonts w:ascii="Arial" w:hAnsi="Arial" w:cs="Arial"/>
        </w:rPr>
        <w:t xml:space="preserve">Although the </w:t>
      </w:r>
      <w:proofErr w:type="spellStart"/>
      <w:r w:rsidR="00276FAC" w:rsidRPr="00276FAC">
        <w:rPr>
          <w:rFonts w:ascii="Arial" w:hAnsi="Arial" w:cs="Arial"/>
        </w:rPr>
        <w:t>Farmus</w:t>
      </w:r>
      <w:proofErr w:type="spellEnd"/>
      <w:r w:rsidR="00276FAC" w:rsidRPr="00276FAC">
        <w:rPr>
          <w:rFonts w:ascii="Arial" w:hAnsi="Arial" w:cs="Arial"/>
        </w:rPr>
        <w:t xml:space="preserve"> et al. </w:t>
      </w:r>
      <w:r w:rsidR="00A529E8">
        <w:rPr>
          <w:rFonts w:ascii="Arial" w:hAnsi="Arial" w:cs="Arial"/>
        </w:rPr>
        <w:t xml:space="preserve">(2022) </w:t>
      </w:r>
      <w:r w:rsidR="00631E54">
        <w:rPr>
          <w:rFonts w:ascii="Arial" w:hAnsi="Arial" w:cs="Arial"/>
        </w:rPr>
        <w:t xml:space="preserve">study was referenced to </w:t>
      </w:r>
      <w:r w:rsidR="00DA2DE9">
        <w:rPr>
          <w:rFonts w:ascii="Arial" w:hAnsi="Arial" w:cs="Arial"/>
        </w:rPr>
        <w:t>support</w:t>
      </w:r>
      <w:r w:rsidR="00631E54">
        <w:rPr>
          <w:rFonts w:ascii="Arial" w:hAnsi="Arial" w:cs="Arial"/>
        </w:rPr>
        <w:t xml:space="preserve"> </w:t>
      </w:r>
      <w:r w:rsidR="008C267D">
        <w:rPr>
          <w:rFonts w:ascii="Arial" w:hAnsi="Arial" w:cs="Arial"/>
        </w:rPr>
        <w:t>the conclusion that the</w:t>
      </w:r>
      <w:r w:rsidR="00631E54">
        <w:rPr>
          <w:rFonts w:ascii="Arial" w:hAnsi="Arial" w:cs="Arial"/>
        </w:rPr>
        <w:t xml:space="preserve"> </w:t>
      </w:r>
      <w:r w:rsidR="00C24628">
        <w:rPr>
          <w:rFonts w:ascii="Arial" w:hAnsi="Arial" w:cs="Arial"/>
        </w:rPr>
        <w:t>association between prenatal fluoride exposure and IQ was significant</w:t>
      </w:r>
      <w:r w:rsidR="00855C41">
        <w:rPr>
          <w:rFonts w:ascii="Arial" w:hAnsi="Arial" w:cs="Arial"/>
        </w:rPr>
        <w:t xml:space="preserve">, the </w:t>
      </w:r>
      <w:r w:rsidR="003568B6">
        <w:rPr>
          <w:rFonts w:ascii="Arial" w:hAnsi="Arial" w:cs="Arial"/>
        </w:rPr>
        <w:t>CLH report</w:t>
      </w:r>
      <w:r w:rsidR="00855C41">
        <w:rPr>
          <w:rFonts w:ascii="Arial" w:hAnsi="Arial" w:cs="Arial"/>
        </w:rPr>
        <w:t xml:space="preserve"> </w:t>
      </w:r>
      <w:r w:rsidR="00276FAC" w:rsidRPr="00276FAC">
        <w:rPr>
          <w:rFonts w:ascii="Arial" w:hAnsi="Arial" w:cs="Arial"/>
        </w:rPr>
        <w:t xml:space="preserve">did not </w:t>
      </w:r>
      <w:r w:rsidR="00B920C5">
        <w:rPr>
          <w:rFonts w:ascii="Arial" w:hAnsi="Arial" w:cs="Arial"/>
        </w:rPr>
        <w:t>consider</w:t>
      </w:r>
      <w:r w:rsidR="00276FAC" w:rsidRPr="00276FAC">
        <w:rPr>
          <w:rFonts w:ascii="Arial" w:hAnsi="Arial" w:cs="Arial"/>
        </w:rPr>
        <w:t xml:space="preserve"> the </w:t>
      </w:r>
      <w:proofErr w:type="spellStart"/>
      <w:r w:rsidR="00B920C5">
        <w:rPr>
          <w:rFonts w:ascii="Arial" w:hAnsi="Arial" w:cs="Arial"/>
        </w:rPr>
        <w:t>Farmus</w:t>
      </w:r>
      <w:proofErr w:type="spellEnd"/>
      <w:r w:rsidR="00B920C5">
        <w:rPr>
          <w:rFonts w:ascii="Arial" w:hAnsi="Arial" w:cs="Arial"/>
        </w:rPr>
        <w:t xml:space="preserve"> et al. addendum</w:t>
      </w:r>
      <w:r w:rsidR="00DE3747">
        <w:rPr>
          <w:rFonts w:ascii="Arial" w:hAnsi="Arial" w:cs="Arial"/>
        </w:rPr>
        <w:t xml:space="preserve"> (below)</w:t>
      </w:r>
      <w:r w:rsidR="00B920C5">
        <w:rPr>
          <w:rFonts w:ascii="Arial" w:hAnsi="Arial" w:cs="Arial"/>
        </w:rPr>
        <w:t xml:space="preserve"> </w:t>
      </w:r>
      <w:r w:rsidR="00276FAC" w:rsidRPr="00276FAC">
        <w:rPr>
          <w:rFonts w:ascii="Arial" w:hAnsi="Arial" w:cs="Arial"/>
        </w:rPr>
        <w:t xml:space="preserve">that contradicted </w:t>
      </w:r>
      <w:r w:rsidR="00855C41">
        <w:rPr>
          <w:rFonts w:ascii="Arial" w:hAnsi="Arial" w:cs="Arial"/>
        </w:rPr>
        <w:t>this</w:t>
      </w:r>
      <w:r w:rsidR="001F6D05">
        <w:rPr>
          <w:rFonts w:ascii="Arial" w:hAnsi="Arial" w:cs="Arial"/>
        </w:rPr>
        <w:t xml:space="preserve"> conclusion </w:t>
      </w:r>
      <w:r w:rsidR="00276FAC" w:rsidRPr="00276FAC">
        <w:rPr>
          <w:rFonts w:ascii="Arial" w:hAnsi="Arial" w:cs="Arial"/>
        </w:rPr>
        <w:t>(</w:t>
      </w:r>
      <w:proofErr w:type="spellStart"/>
      <w:r w:rsidR="00941444">
        <w:rPr>
          <w:rFonts w:ascii="Arial" w:hAnsi="Arial" w:cs="Arial"/>
        </w:rPr>
        <w:t>Farmus</w:t>
      </w:r>
      <w:proofErr w:type="spellEnd"/>
      <w:r w:rsidR="00941444">
        <w:rPr>
          <w:rFonts w:ascii="Arial" w:hAnsi="Arial" w:cs="Arial"/>
        </w:rPr>
        <w:t xml:space="preserve"> et al. 2021</w:t>
      </w:r>
      <w:r w:rsidR="00276FAC" w:rsidRPr="00276FAC">
        <w:rPr>
          <w:rFonts w:ascii="Arial" w:hAnsi="Arial" w:cs="Arial"/>
        </w:rPr>
        <w:t xml:space="preserve">). </w:t>
      </w:r>
      <w:r w:rsidR="007E39D4">
        <w:rPr>
          <w:rFonts w:ascii="Arial" w:hAnsi="Arial" w:cs="Arial"/>
        </w:rPr>
        <w:t>It is important to</w:t>
      </w:r>
      <w:r w:rsidR="007E39D4" w:rsidRPr="00D20C42">
        <w:rPr>
          <w:rFonts w:ascii="Arial" w:hAnsi="Arial" w:cs="Arial"/>
        </w:rPr>
        <w:t xml:space="preserve"> </w:t>
      </w:r>
      <w:r w:rsidR="007E39D4" w:rsidRPr="00D20C42">
        <w:rPr>
          <w:rFonts w:ascii="Arial" w:hAnsi="Arial" w:cs="Arial"/>
          <w:i/>
          <w:iCs/>
          <w:u w:val="single"/>
        </w:rPr>
        <w:t>note</w:t>
      </w:r>
      <w:r w:rsidR="003063DC" w:rsidRPr="00D20C42">
        <w:rPr>
          <w:rFonts w:ascii="Arial" w:hAnsi="Arial" w:cs="Arial"/>
          <w:i/>
          <w:iCs/>
          <w:u w:val="single"/>
        </w:rPr>
        <w:t xml:space="preserve"> that </w:t>
      </w:r>
      <w:r w:rsidR="00276FAC" w:rsidRPr="00D20C42">
        <w:rPr>
          <w:rFonts w:ascii="Arial" w:hAnsi="Arial" w:cs="Arial"/>
          <w:i/>
          <w:iCs/>
          <w:u w:val="single"/>
        </w:rPr>
        <w:t xml:space="preserve">none of the 54 coefficients (FSIQ, PIQ, VIQ during pregnancy, infancy, and childhood in boys and girls) </w:t>
      </w:r>
      <w:proofErr w:type="gramStart"/>
      <w:r w:rsidR="00276FAC" w:rsidRPr="00D20C42">
        <w:rPr>
          <w:rFonts w:ascii="Arial" w:hAnsi="Arial" w:cs="Arial"/>
          <w:i/>
          <w:iCs/>
          <w:u w:val="single"/>
        </w:rPr>
        <w:t>is</w:t>
      </w:r>
      <w:proofErr w:type="gramEnd"/>
      <w:r w:rsidR="00276FAC" w:rsidRPr="00D20C42">
        <w:rPr>
          <w:rFonts w:ascii="Arial" w:hAnsi="Arial" w:cs="Arial"/>
          <w:i/>
          <w:iCs/>
          <w:u w:val="single"/>
        </w:rPr>
        <w:t xml:space="preserve"> statistically significan</w:t>
      </w:r>
      <w:r w:rsidR="00276FAC" w:rsidRPr="00276FAC">
        <w:rPr>
          <w:rFonts w:ascii="Arial" w:hAnsi="Arial" w:cs="Arial"/>
        </w:rPr>
        <w:t xml:space="preserve">t. </w:t>
      </w:r>
      <w:r w:rsidR="001E69C3">
        <w:rPr>
          <w:rFonts w:ascii="Arial" w:hAnsi="Arial" w:cs="Arial"/>
        </w:rPr>
        <w:t>Furthermore, as</w:t>
      </w:r>
      <w:r w:rsidR="00276FAC" w:rsidRPr="00276FAC">
        <w:rPr>
          <w:rFonts w:ascii="Arial" w:hAnsi="Arial" w:cs="Arial"/>
        </w:rPr>
        <w:t xml:space="preserve"> the authors used a different IQ tester in each of the six cities, controlling for </w:t>
      </w:r>
      <w:r w:rsidR="001E69C3">
        <w:rPr>
          <w:rFonts w:ascii="Arial" w:hAnsi="Arial" w:cs="Arial"/>
        </w:rPr>
        <w:t>the city</w:t>
      </w:r>
      <w:r w:rsidR="00276FAC" w:rsidRPr="00276FAC">
        <w:rPr>
          <w:rFonts w:ascii="Arial" w:hAnsi="Arial" w:cs="Arial"/>
        </w:rPr>
        <w:t xml:space="preserve"> is critical. The authors’ justification that the city is correlated with </w:t>
      </w:r>
      <w:r w:rsidR="00A529E8">
        <w:rPr>
          <w:rFonts w:ascii="Arial" w:hAnsi="Arial" w:cs="Arial"/>
        </w:rPr>
        <w:t>infant fluoride exposure (</w:t>
      </w:r>
      <w:r w:rsidR="00276FAC" w:rsidRPr="00276FAC">
        <w:rPr>
          <w:rFonts w:ascii="Arial" w:hAnsi="Arial" w:cs="Arial"/>
        </w:rPr>
        <w:t>IFI</w:t>
      </w:r>
      <w:r w:rsidR="00A529E8">
        <w:rPr>
          <w:rFonts w:ascii="Arial" w:hAnsi="Arial" w:cs="Arial"/>
        </w:rPr>
        <w:t>)</w:t>
      </w:r>
      <w:r w:rsidR="00276FAC" w:rsidRPr="00276FAC">
        <w:rPr>
          <w:rFonts w:ascii="Arial" w:hAnsi="Arial" w:cs="Arial"/>
        </w:rPr>
        <w:t xml:space="preserve"> does not apply to the maternal urinary fluoride coefficients (Guichon </w:t>
      </w:r>
      <w:r w:rsidR="002060CC">
        <w:rPr>
          <w:rFonts w:ascii="Arial" w:hAnsi="Arial" w:cs="Arial"/>
        </w:rPr>
        <w:t xml:space="preserve">et al. </w:t>
      </w:r>
      <w:r w:rsidR="00276FAC" w:rsidRPr="00276FAC">
        <w:rPr>
          <w:rFonts w:ascii="Arial" w:hAnsi="Arial" w:cs="Arial"/>
        </w:rPr>
        <w:t>202</w:t>
      </w:r>
      <w:r w:rsidR="0028007E">
        <w:rPr>
          <w:rFonts w:ascii="Arial" w:hAnsi="Arial" w:cs="Arial"/>
        </w:rPr>
        <w:t>4a</w:t>
      </w:r>
      <w:r w:rsidR="00276FAC" w:rsidRPr="00276FAC">
        <w:rPr>
          <w:rFonts w:ascii="Arial" w:hAnsi="Arial" w:cs="Arial"/>
        </w:rPr>
        <w:t xml:space="preserve">). </w:t>
      </w:r>
    </w:p>
    <w:p w14:paraId="145B164E" w14:textId="5A7D8DD1" w:rsidR="00D17555" w:rsidRDefault="00DE3747" w:rsidP="00504929">
      <w:pPr>
        <w:spacing w:line="259" w:lineRule="auto"/>
        <w:ind w:left="720"/>
        <w:rPr>
          <w:rFonts w:ascii="Arial" w:hAnsi="Arial" w:cs="Arial"/>
        </w:rPr>
      </w:pPr>
      <w:r w:rsidRPr="00546B57">
        <w:rPr>
          <w:i/>
          <w:iCs/>
          <w:noProof/>
        </w:rPr>
        <w:drawing>
          <wp:inline distT="0" distB="0" distL="0" distR="0" wp14:anchorId="1DB67F84" wp14:editId="21A313ED">
            <wp:extent cx="5732780" cy="3721100"/>
            <wp:effectExtent l="0" t="0" r="1270" b="0"/>
            <wp:docPr id="28214239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42393" name="Picture 1" descr="A screenshot of a computer&#10;&#10;AI-generated content may be incorrect."/>
                    <pic:cNvPicPr/>
                  </pic:nvPicPr>
                  <pic:blipFill rotWithShape="1">
                    <a:blip r:embed="rId11"/>
                    <a:srcRect l="2672" t="3219" r="844" b="6939"/>
                    <a:stretch>
                      <a:fillRect/>
                    </a:stretch>
                  </pic:blipFill>
                  <pic:spPr bwMode="auto">
                    <a:xfrm>
                      <a:off x="0" y="0"/>
                      <a:ext cx="5734639" cy="3722307"/>
                    </a:xfrm>
                    <a:prstGeom prst="rect">
                      <a:avLst/>
                    </a:prstGeom>
                    <a:ln>
                      <a:noFill/>
                    </a:ln>
                    <a:extLst>
                      <a:ext uri="{53640926-AAD7-44D8-BBD7-CCE9431645EC}">
                        <a14:shadowObscured xmlns:a14="http://schemas.microsoft.com/office/drawing/2010/main"/>
                      </a:ext>
                    </a:extLst>
                  </pic:spPr>
                </pic:pic>
              </a:graphicData>
            </a:graphic>
          </wp:inline>
        </w:drawing>
      </w:r>
    </w:p>
    <w:p w14:paraId="77BE813D" w14:textId="7B368C60" w:rsidR="000B581B" w:rsidRPr="00713682" w:rsidRDefault="000B581B" w:rsidP="00713682">
      <w:pPr>
        <w:ind w:left="720"/>
        <w:rPr>
          <w:rFonts w:ascii="Arial" w:hAnsi="Arial" w:cs="Arial"/>
          <w:i/>
          <w:iCs/>
        </w:rPr>
      </w:pPr>
      <w:proofErr w:type="spellStart"/>
      <w:r w:rsidRPr="000B581B">
        <w:rPr>
          <w:rFonts w:ascii="Arial" w:hAnsi="Arial" w:cs="Arial"/>
          <w:i/>
          <w:iCs/>
        </w:rPr>
        <w:t>Farmus</w:t>
      </w:r>
      <w:proofErr w:type="spellEnd"/>
      <w:r w:rsidRPr="000B581B">
        <w:rPr>
          <w:rFonts w:ascii="Arial" w:hAnsi="Arial" w:cs="Arial"/>
          <w:i/>
          <w:iCs/>
        </w:rPr>
        <w:t xml:space="preserve"> et al. </w:t>
      </w:r>
      <w:r w:rsidR="00713682">
        <w:rPr>
          <w:rFonts w:ascii="Arial" w:hAnsi="Arial" w:cs="Arial"/>
          <w:i/>
          <w:iCs/>
        </w:rPr>
        <w:t>202</w:t>
      </w:r>
      <w:r w:rsidR="00FF023A">
        <w:rPr>
          <w:rFonts w:ascii="Arial" w:hAnsi="Arial" w:cs="Arial"/>
          <w:i/>
          <w:iCs/>
        </w:rPr>
        <w:t>1</w:t>
      </w:r>
      <w:r w:rsidR="00713682">
        <w:rPr>
          <w:rFonts w:ascii="Arial" w:hAnsi="Arial" w:cs="Arial"/>
          <w:i/>
          <w:iCs/>
        </w:rPr>
        <w:t xml:space="preserve">. </w:t>
      </w:r>
      <w:r w:rsidRPr="000B581B">
        <w:rPr>
          <w:rFonts w:ascii="Arial" w:hAnsi="Arial" w:cs="Arial"/>
        </w:rPr>
        <w:t xml:space="preserve">P-values were corrected for multiple comparisons, and none of the estimates were significant. Even if the IFI coefficient is affected by the collinearity, this analysis should not affect the MUF coefficients. </w:t>
      </w:r>
    </w:p>
    <w:p w14:paraId="4C852A14" w14:textId="2A474518" w:rsidR="003C1E79" w:rsidRPr="006918D3" w:rsidRDefault="000C2391" w:rsidP="00AC4D17">
      <w:pPr>
        <w:spacing w:before="240" w:line="259" w:lineRule="auto"/>
        <w:rPr>
          <w:rFonts w:ascii="Arial" w:hAnsi="Arial" w:cs="Arial"/>
        </w:rPr>
      </w:pPr>
      <w:r w:rsidRPr="000C2391">
        <w:rPr>
          <w:rFonts w:ascii="Arial" w:hAnsi="Arial" w:cs="Arial"/>
        </w:rPr>
        <w:t>Therefore,</w:t>
      </w:r>
      <w:r>
        <w:rPr>
          <w:rFonts w:ascii="Arial" w:hAnsi="Arial" w:cs="Arial"/>
          <w:b/>
          <w:bCs/>
        </w:rPr>
        <w:t xml:space="preserve"> </w:t>
      </w:r>
      <w:r w:rsidR="004C1882" w:rsidRPr="000C2391">
        <w:rPr>
          <w:rFonts w:ascii="Arial" w:hAnsi="Arial" w:cs="Arial"/>
          <w:b/>
          <w:bCs/>
        </w:rPr>
        <w:t xml:space="preserve">IADR recommends that </w:t>
      </w:r>
      <w:r w:rsidR="003E1DD2" w:rsidRPr="000C2391">
        <w:rPr>
          <w:rFonts w:ascii="Arial" w:hAnsi="Arial" w:cs="Arial"/>
          <w:b/>
          <w:bCs/>
        </w:rPr>
        <w:t xml:space="preserve">the </w:t>
      </w:r>
      <w:r w:rsidR="004C1882" w:rsidRPr="000C2391">
        <w:rPr>
          <w:rFonts w:ascii="Arial" w:hAnsi="Arial" w:cs="Arial"/>
          <w:b/>
          <w:bCs/>
        </w:rPr>
        <w:t>R</w:t>
      </w:r>
      <w:r w:rsidR="003E1DD2" w:rsidRPr="000C2391">
        <w:rPr>
          <w:rFonts w:ascii="Arial" w:hAnsi="Arial" w:cs="Arial"/>
          <w:b/>
          <w:bCs/>
        </w:rPr>
        <w:t xml:space="preserve">isk </w:t>
      </w:r>
      <w:r w:rsidR="004C1882" w:rsidRPr="000C2391">
        <w:rPr>
          <w:rFonts w:ascii="Arial" w:hAnsi="Arial" w:cs="Arial"/>
          <w:b/>
          <w:bCs/>
        </w:rPr>
        <w:t>A</w:t>
      </w:r>
      <w:r w:rsidR="003E1DD2" w:rsidRPr="000C2391">
        <w:rPr>
          <w:rFonts w:ascii="Arial" w:hAnsi="Arial" w:cs="Arial"/>
          <w:b/>
          <w:bCs/>
        </w:rPr>
        <w:t xml:space="preserve">ssessment </w:t>
      </w:r>
      <w:r w:rsidR="004C1882" w:rsidRPr="000C2391">
        <w:rPr>
          <w:rFonts w:ascii="Arial" w:hAnsi="Arial" w:cs="Arial"/>
          <w:b/>
          <w:bCs/>
        </w:rPr>
        <w:t>C</w:t>
      </w:r>
      <w:r w:rsidR="003E1DD2" w:rsidRPr="000C2391">
        <w:rPr>
          <w:rFonts w:ascii="Arial" w:hAnsi="Arial" w:cs="Arial"/>
          <w:b/>
          <w:bCs/>
        </w:rPr>
        <w:t>ommittee</w:t>
      </w:r>
      <w:r w:rsidR="004C1882" w:rsidRPr="000C2391">
        <w:rPr>
          <w:rFonts w:ascii="Arial" w:hAnsi="Arial" w:cs="Arial"/>
          <w:b/>
          <w:bCs/>
        </w:rPr>
        <w:t xml:space="preserve"> </w:t>
      </w:r>
      <w:r w:rsidR="000B6F5E" w:rsidRPr="000C2391">
        <w:rPr>
          <w:rFonts w:ascii="Arial" w:hAnsi="Arial" w:cs="Arial"/>
          <w:b/>
          <w:bCs/>
        </w:rPr>
        <w:t xml:space="preserve">(RAC) </w:t>
      </w:r>
      <w:r w:rsidR="004C1882" w:rsidRPr="000C2391">
        <w:rPr>
          <w:rFonts w:ascii="Arial" w:hAnsi="Arial" w:cs="Arial"/>
          <w:b/>
          <w:bCs/>
        </w:rPr>
        <w:t>explicitly (i) downgrade certainty where inconsistency</w:t>
      </w:r>
      <w:r w:rsidR="00D17555" w:rsidRPr="000C2391">
        <w:rPr>
          <w:rFonts w:ascii="Arial" w:hAnsi="Arial" w:cs="Arial"/>
          <w:b/>
          <w:bCs/>
        </w:rPr>
        <w:t xml:space="preserve"> </w:t>
      </w:r>
      <w:r w:rsidR="004C1882" w:rsidRPr="000C2391">
        <w:rPr>
          <w:rFonts w:ascii="Arial" w:hAnsi="Arial" w:cs="Arial"/>
          <w:b/>
          <w:bCs/>
        </w:rPr>
        <w:t>/</w:t>
      </w:r>
      <w:r w:rsidR="00D17555" w:rsidRPr="000C2391">
        <w:rPr>
          <w:rFonts w:ascii="Arial" w:hAnsi="Arial" w:cs="Arial"/>
          <w:b/>
          <w:bCs/>
        </w:rPr>
        <w:t xml:space="preserve"> </w:t>
      </w:r>
      <w:r w:rsidR="004C1882" w:rsidRPr="000C2391">
        <w:rPr>
          <w:rFonts w:ascii="Arial" w:hAnsi="Arial" w:cs="Arial"/>
          <w:b/>
          <w:bCs/>
        </w:rPr>
        <w:t xml:space="preserve">heterogeneity is high and </w:t>
      </w:r>
      <w:r w:rsidR="004C1882" w:rsidRPr="000C2391">
        <w:rPr>
          <w:rFonts w:ascii="Arial" w:hAnsi="Arial" w:cs="Arial"/>
          <w:b/>
          <w:bCs/>
        </w:rPr>
        <w:lastRenderedPageBreak/>
        <w:t xml:space="preserve">unexplained, </w:t>
      </w:r>
      <w:r w:rsidR="006918D3">
        <w:rPr>
          <w:rFonts w:ascii="Arial" w:hAnsi="Arial" w:cs="Arial"/>
          <w:b/>
          <w:bCs/>
        </w:rPr>
        <w:t xml:space="preserve">and </w:t>
      </w:r>
      <w:r w:rsidR="004C1882" w:rsidRPr="000C2391">
        <w:rPr>
          <w:rFonts w:ascii="Arial" w:hAnsi="Arial" w:cs="Arial"/>
          <w:b/>
          <w:bCs/>
        </w:rPr>
        <w:t>(ii) ensure conclusions distinguish more clearly between findings from fluorosis-endemic</w:t>
      </w:r>
      <w:r w:rsidR="00C949E4" w:rsidRPr="000C2391">
        <w:rPr>
          <w:rFonts w:ascii="Arial" w:hAnsi="Arial" w:cs="Arial"/>
          <w:b/>
          <w:bCs/>
        </w:rPr>
        <w:t xml:space="preserve"> </w:t>
      </w:r>
      <w:r w:rsidR="004C1882" w:rsidRPr="000C2391">
        <w:rPr>
          <w:rFonts w:ascii="Arial" w:hAnsi="Arial" w:cs="Arial"/>
          <w:b/>
          <w:bCs/>
        </w:rPr>
        <w:t>/</w:t>
      </w:r>
      <w:r w:rsidR="00C949E4" w:rsidRPr="000C2391">
        <w:rPr>
          <w:rFonts w:ascii="Arial" w:hAnsi="Arial" w:cs="Arial"/>
          <w:b/>
          <w:bCs/>
        </w:rPr>
        <w:t xml:space="preserve"> </w:t>
      </w:r>
      <w:r w:rsidR="004C1882" w:rsidRPr="000C2391">
        <w:rPr>
          <w:rFonts w:ascii="Arial" w:hAnsi="Arial" w:cs="Arial"/>
          <w:b/>
          <w:bCs/>
        </w:rPr>
        <w:t>high-exposure settings and evidence at low-to-moderate exposures</w:t>
      </w:r>
      <w:r w:rsidR="006918D3">
        <w:rPr>
          <w:rFonts w:ascii="Arial" w:hAnsi="Arial" w:cs="Arial"/>
          <w:b/>
          <w:bCs/>
        </w:rPr>
        <w:t>.</w:t>
      </w:r>
      <w:r w:rsidR="00383441">
        <w:rPr>
          <w:rFonts w:ascii="Arial" w:hAnsi="Arial" w:cs="Arial"/>
          <w:b/>
          <w:bCs/>
        </w:rPr>
        <w:t xml:space="preserve"> </w:t>
      </w:r>
    </w:p>
    <w:p w14:paraId="7B1F5291" w14:textId="77777777" w:rsidR="00A04EE4" w:rsidRDefault="00A04EE4" w:rsidP="00F601E9">
      <w:pPr>
        <w:spacing w:after="160" w:line="259" w:lineRule="auto"/>
        <w:rPr>
          <w:rFonts w:ascii="Arial" w:hAnsi="Arial" w:cs="Arial"/>
          <w:b/>
          <w:bCs/>
        </w:rPr>
      </w:pPr>
    </w:p>
    <w:p w14:paraId="18D6C0B8" w14:textId="3AC03789" w:rsidR="00F601E9" w:rsidRDefault="00F601E9" w:rsidP="00F601E9">
      <w:pPr>
        <w:spacing w:after="160" w:line="259" w:lineRule="auto"/>
        <w:rPr>
          <w:rFonts w:ascii="Arial" w:hAnsi="Arial" w:cs="Arial"/>
        </w:rPr>
      </w:pPr>
      <w:r w:rsidRPr="00F601E9">
        <w:rPr>
          <w:rFonts w:ascii="Arial" w:hAnsi="Arial" w:cs="Arial"/>
          <w:b/>
          <w:bCs/>
        </w:rPr>
        <w:t>Inclusion of high</w:t>
      </w:r>
      <w:r w:rsidR="00F25AB1">
        <w:rPr>
          <w:rFonts w:ascii="Arial" w:hAnsi="Arial" w:cs="Arial"/>
          <w:b/>
          <w:bCs/>
        </w:rPr>
        <w:t>-</w:t>
      </w:r>
      <w:r w:rsidRPr="00F601E9">
        <w:rPr>
          <w:rFonts w:ascii="Arial" w:hAnsi="Arial" w:cs="Arial"/>
          <w:b/>
          <w:bCs/>
        </w:rPr>
        <w:t>concentration animal exposure studies</w:t>
      </w:r>
      <w:r w:rsidRPr="00F601E9">
        <w:rPr>
          <w:rFonts w:ascii="Arial" w:hAnsi="Arial" w:cs="Arial"/>
        </w:rPr>
        <w:t xml:space="preserve"> </w:t>
      </w:r>
      <w:r w:rsidR="005964C4" w:rsidRPr="005B109A">
        <w:rPr>
          <w:rFonts w:ascii="Arial" w:hAnsi="Arial" w:cs="Arial"/>
          <w:i/>
          <w:iCs/>
        </w:rPr>
        <w:t>(Section 11.1.2.2.</w:t>
      </w:r>
      <w:r w:rsidR="00175F61">
        <w:rPr>
          <w:rFonts w:ascii="Arial" w:hAnsi="Arial" w:cs="Arial"/>
          <w:i/>
          <w:iCs/>
        </w:rPr>
        <w:t>2</w:t>
      </w:r>
      <w:r w:rsidR="005964C4" w:rsidRPr="005B109A">
        <w:rPr>
          <w:rFonts w:ascii="Arial" w:hAnsi="Arial" w:cs="Arial"/>
          <w:i/>
          <w:iCs/>
        </w:rPr>
        <w:t xml:space="preserve"> – </w:t>
      </w:r>
      <w:r w:rsidR="005964C4">
        <w:rPr>
          <w:rFonts w:ascii="Arial" w:hAnsi="Arial" w:cs="Arial"/>
          <w:i/>
          <w:iCs/>
        </w:rPr>
        <w:t>Table 2</w:t>
      </w:r>
      <w:r w:rsidR="00175F61">
        <w:rPr>
          <w:rFonts w:ascii="Arial" w:hAnsi="Arial" w:cs="Arial"/>
          <w:i/>
          <w:iCs/>
        </w:rPr>
        <w:t>4</w:t>
      </w:r>
      <w:r w:rsidR="00B40F78">
        <w:rPr>
          <w:rFonts w:ascii="Arial" w:hAnsi="Arial" w:cs="Arial"/>
          <w:i/>
          <w:iCs/>
        </w:rPr>
        <w:t>,</w:t>
      </w:r>
      <w:r w:rsidR="00291ED6">
        <w:rPr>
          <w:rFonts w:ascii="Arial" w:hAnsi="Arial" w:cs="Arial"/>
          <w:i/>
          <w:iCs/>
        </w:rPr>
        <w:t xml:space="preserve"> and</w:t>
      </w:r>
      <w:r w:rsidR="00B40F78">
        <w:rPr>
          <w:rFonts w:ascii="Arial" w:hAnsi="Arial" w:cs="Arial"/>
          <w:i/>
          <w:iCs/>
        </w:rPr>
        <w:t xml:space="preserve"> p</w:t>
      </w:r>
      <w:r w:rsidR="00291ED6">
        <w:rPr>
          <w:rFonts w:ascii="Arial" w:hAnsi="Arial" w:cs="Arial"/>
          <w:i/>
          <w:iCs/>
        </w:rPr>
        <w:t xml:space="preserve">. </w:t>
      </w:r>
      <w:r w:rsidR="00B40F78">
        <w:rPr>
          <w:rFonts w:ascii="Arial" w:hAnsi="Arial" w:cs="Arial"/>
          <w:i/>
          <w:iCs/>
        </w:rPr>
        <w:t>1</w:t>
      </w:r>
      <w:r w:rsidR="003E3A49">
        <w:rPr>
          <w:rFonts w:ascii="Arial" w:hAnsi="Arial" w:cs="Arial"/>
          <w:i/>
          <w:iCs/>
        </w:rPr>
        <w:t>58</w:t>
      </w:r>
      <w:r w:rsidR="00D52DFC">
        <w:rPr>
          <w:rFonts w:ascii="Arial" w:hAnsi="Arial" w:cs="Arial"/>
          <w:i/>
          <w:iCs/>
        </w:rPr>
        <w:t xml:space="preserve"> - 15</w:t>
      </w:r>
      <w:r w:rsidR="00291ED6">
        <w:rPr>
          <w:rFonts w:ascii="Arial" w:hAnsi="Arial" w:cs="Arial"/>
          <w:i/>
          <w:iCs/>
        </w:rPr>
        <w:t>9</w:t>
      </w:r>
      <w:r w:rsidR="005964C4" w:rsidRPr="005B109A">
        <w:rPr>
          <w:rFonts w:ascii="Arial" w:hAnsi="Arial" w:cs="Arial"/>
          <w:i/>
          <w:iCs/>
        </w:rPr>
        <w:t>)</w:t>
      </w:r>
    </w:p>
    <w:p w14:paraId="37D2341A" w14:textId="14CCA42B" w:rsidR="009A789F" w:rsidRDefault="009A789F" w:rsidP="009A789F">
      <w:pPr>
        <w:spacing w:after="160" w:line="259" w:lineRule="auto"/>
        <w:rPr>
          <w:rFonts w:ascii="Arial" w:hAnsi="Arial" w:cs="Arial"/>
        </w:rPr>
      </w:pPr>
      <w:r w:rsidRPr="00042835">
        <w:rPr>
          <w:rFonts w:ascii="Arial" w:hAnsi="Arial" w:cs="Arial"/>
        </w:rPr>
        <w:t xml:space="preserve">The </w:t>
      </w:r>
      <w:r>
        <w:rPr>
          <w:rFonts w:ascii="Arial" w:hAnsi="Arial" w:cs="Arial"/>
        </w:rPr>
        <w:t xml:space="preserve">US </w:t>
      </w:r>
      <w:r w:rsidRPr="00042835">
        <w:rPr>
          <w:rFonts w:ascii="Arial" w:hAnsi="Arial" w:cs="Arial"/>
        </w:rPr>
        <w:t>N</w:t>
      </w:r>
      <w:r>
        <w:rPr>
          <w:rFonts w:ascii="Arial" w:hAnsi="Arial" w:cs="Arial"/>
        </w:rPr>
        <w:t xml:space="preserve">ational </w:t>
      </w:r>
      <w:r w:rsidRPr="00042835">
        <w:rPr>
          <w:rFonts w:ascii="Arial" w:hAnsi="Arial" w:cs="Arial"/>
        </w:rPr>
        <w:t>T</w:t>
      </w:r>
      <w:r>
        <w:rPr>
          <w:rFonts w:ascii="Arial" w:hAnsi="Arial" w:cs="Arial"/>
        </w:rPr>
        <w:t xml:space="preserve">oxicology </w:t>
      </w:r>
      <w:r w:rsidRPr="00042835">
        <w:rPr>
          <w:rFonts w:ascii="Arial" w:hAnsi="Arial" w:cs="Arial"/>
        </w:rPr>
        <w:t>P</w:t>
      </w:r>
      <w:r>
        <w:rPr>
          <w:rFonts w:ascii="Arial" w:hAnsi="Arial" w:cs="Arial"/>
        </w:rPr>
        <w:t>rogram (NTP)</w:t>
      </w:r>
      <w:r w:rsidRPr="00042835">
        <w:rPr>
          <w:rFonts w:ascii="Arial" w:hAnsi="Arial" w:cs="Arial"/>
        </w:rPr>
        <w:t xml:space="preserve"> report, the </w:t>
      </w:r>
      <w:r>
        <w:rPr>
          <w:rFonts w:ascii="Arial" w:hAnsi="Arial" w:cs="Arial"/>
        </w:rPr>
        <w:t xml:space="preserve">subsequent </w:t>
      </w:r>
      <w:r w:rsidRPr="00042835">
        <w:rPr>
          <w:rFonts w:ascii="Arial" w:hAnsi="Arial" w:cs="Arial"/>
        </w:rPr>
        <w:t>N</w:t>
      </w:r>
      <w:r>
        <w:rPr>
          <w:rFonts w:ascii="Arial" w:hAnsi="Arial" w:cs="Arial"/>
        </w:rPr>
        <w:t xml:space="preserve">ational </w:t>
      </w:r>
      <w:r w:rsidRPr="00042835">
        <w:rPr>
          <w:rFonts w:ascii="Arial" w:hAnsi="Arial" w:cs="Arial"/>
        </w:rPr>
        <w:t>A</w:t>
      </w:r>
      <w:r>
        <w:rPr>
          <w:rFonts w:ascii="Arial" w:hAnsi="Arial" w:cs="Arial"/>
        </w:rPr>
        <w:t xml:space="preserve">cademies of </w:t>
      </w:r>
      <w:r w:rsidRPr="00042835">
        <w:rPr>
          <w:rFonts w:ascii="Arial" w:hAnsi="Arial" w:cs="Arial"/>
        </w:rPr>
        <w:t>S</w:t>
      </w:r>
      <w:r>
        <w:rPr>
          <w:rFonts w:ascii="Arial" w:hAnsi="Arial" w:cs="Arial"/>
        </w:rPr>
        <w:t xml:space="preserve">ciences, </w:t>
      </w:r>
      <w:r w:rsidRPr="00042835">
        <w:rPr>
          <w:rFonts w:ascii="Arial" w:hAnsi="Arial" w:cs="Arial"/>
        </w:rPr>
        <w:t>E</w:t>
      </w:r>
      <w:r>
        <w:rPr>
          <w:rFonts w:ascii="Arial" w:hAnsi="Arial" w:cs="Arial"/>
        </w:rPr>
        <w:t xml:space="preserve">ngineering, and </w:t>
      </w:r>
      <w:r w:rsidRPr="00042835">
        <w:rPr>
          <w:rFonts w:ascii="Arial" w:hAnsi="Arial" w:cs="Arial"/>
        </w:rPr>
        <w:t>M</w:t>
      </w:r>
      <w:r>
        <w:rPr>
          <w:rFonts w:ascii="Arial" w:hAnsi="Arial" w:cs="Arial"/>
        </w:rPr>
        <w:t>edicine (NASEM)</w:t>
      </w:r>
      <w:r w:rsidRPr="00042835">
        <w:rPr>
          <w:rFonts w:ascii="Arial" w:hAnsi="Arial" w:cs="Arial"/>
        </w:rPr>
        <w:t xml:space="preserve"> review, and the E</w:t>
      </w:r>
      <w:r>
        <w:rPr>
          <w:rFonts w:ascii="Arial" w:hAnsi="Arial" w:cs="Arial"/>
        </w:rPr>
        <w:t xml:space="preserve">uropean </w:t>
      </w:r>
      <w:r w:rsidRPr="00042835">
        <w:rPr>
          <w:rFonts w:ascii="Arial" w:hAnsi="Arial" w:cs="Arial"/>
        </w:rPr>
        <w:t>F</w:t>
      </w:r>
      <w:r>
        <w:rPr>
          <w:rFonts w:ascii="Arial" w:hAnsi="Arial" w:cs="Arial"/>
        </w:rPr>
        <w:t xml:space="preserve">ood </w:t>
      </w:r>
      <w:r w:rsidRPr="00042835">
        <w:rPr>
          <w:rFonts w:ascii="Arial" w:hAnsi="Arial" w:cs="Arial"/>
        </w:rPr>
        <w:t>S</w:t>
      </w:r>
      <w:r>
        <w:rPr>
          <w:rFonts w:ascii="Arial" w:hAnsi="Arial" w:cs="Arial"/>
        </w:rPr>
        <w:t xml:space="preserve">afety </w:t>
      </w:r>
      <w:r w:rsidRPr="00042835">
        <w:rPr>
          <w:rFonts w:ascii="Arial" w:hAnsi="Arial" w:cs="Arial"/>
        </w:rPr>
        <w:t>A</w:t>
      </w:r>
      <w:r>
        <w:rPr>
          <w:rFonts w:ascii="Arial" w:hAnsi="Arial" w:cs="Arial"/>
        </w:rPr>
        <w:t>uthority (EFSA)</w:t>
      </w:r>
      <w:r w:rsidRPr="00042835">
        <w:rPr>
          <w:rFonts w:ascii="Arial" w:hAnsi="Arial" w:cs="Arial"/>
        </w:rPr>
        <w:t xml:space="preserve"> report</w:t>
      </w:r>
      <w:r w:rsidR="00550DB0">
        <w:rPr>
          <w:rFonts w:ascii="Arial" w:hAnsi="Arial" w:cs="Arial"/>
        </w:rPr>
        <w:t>,</w:t>
      </w:r>
      <w:r w:rsidRPr="00042835">
        <w:rPr>
          <w:rFonts w:ascii="Arial" w:hAnsi="Arial" w:cs="Arial"/>
        </w:rPr>
        <w:t xml:space="preserve"> contradict the CL</w:t>
      </w:r>
      <w:r w:rsidR="00B859D4">
        <w:rPr>
          <w:rFonts w:ascii="Arial" w:hAnsi="Arial" w:cs="Arial"/>
        </w:rPr>
        <w:t>H</w:t>
      </w:r>
      <w:r w:rsidRPr="00042835">
        <w:rPr>
          <w:rFonts w:ascii="Arial" w:hAnsi="Arial" w:cs="Arial"/>
        </w:rPr>
        <w:t xml:space="preserve"> report in </w:t>
      </w:r>
      <w:r w:rsidR="005B5C85">
        <w:rPr>
          <w:rFonts w:ascii="Arial" w:hAnsi="Arial" w:cs="Arial"/>
        </w:rPr>
        <w:t xml:space="preserve">many </w:t>
      </w:r>
      <w:r w:rsidRPr="00042835">
        <w:rPr>
          <w:rFonts w:ascii="Arial" w:hAnsi="Arial" w:cs="Arial"/>
        </w:rPr>
        <w:t xml:space="preserve">important ways. Notably, </w:t>
      </w:r>
      <w:r w:rsidRPr="00A529E8">
        <w:rPr>
          <w:rFonts w:ascii="Arial" w:hAnsi="Arial" w:cs="Arial"/>
          <w:b/>
          <w:bCs/>
        </w:rPr>
        <w:t>these major independent evaluations all converge on the conclusion that animal studies of fluoride are not informative for assessing human developmental neurotoxicity at community exposure levels</w:t>
      </w:r>
      <w:r w:rsidRPr="00042835">
        <w:rPr>
          <w:rFonts w:ascii="Arial" w:hAnsi="Arial" w:cs="Arial"/>
        </w:rPr>
        <w:t>. The NTP animal-focused review found learning and memory effects mainly at very high doses, with most studies suffering from small sample sizes, poor control of systemic toxicity, inadequate handling of litter effects, and non-standard behavioral methods</w:t>
      </w:r>
      <w:r w:rsidR="00FA7726">
        <w:rPr>
          <w:rFonts w:ascii="Arial" w:hAnsi="Arial" w:cs="Arial"/>
        </w:rPr>
        <w:t xml:space="preserve"> (US NTP, 201</w:t>
      </w:r>
      <w:r w:rsidR="00876FB6">
        <w:rPr>
          <w:rFonts w:ascii="Arial" w:hAnsi="Arial" w:cs="Arial"/>
        </w:rPr>
        <w:t>9</w:t>
      </w:r>
      <w:r w:rsidR="00E57DBF">
        <w:rPr>
          <w:rFonts w:ascii="Arial" w:hAnsi="Arial" w:cs="Arial"/>
        </w:rPr>
        <w:t>a</w:t>
      </w:r>
      <w:r w:rsidR="00FA7726">
        <w:rPr>
          <w:rFonts w:ascii="Arial" w:hAnsi="Arial" w:cs="Arial"/>
        </w:rPr>
        <w:t>)</w:t>
      </w:r>
      <w:r w:rsidRPr="00042835">
        <w:rPr>
          <w:rFonts w:ascii="Arial" w:hAnsi="Arial" w:cs="Arial"/>
        </w:rPr>
        <w:t xml:space="preserve">. NASEM, in reviewing the draft NTP monograph, agreed that animal </w:t>
      </w:r>
      <w:r w:rsidR="00B71379">
        <w:rPr>
          <w:rFonts w:ascii="Arial" w:hAnsi="Arial" w:cs="Arial"/>
        </w:rPr>
        <w:t xml:space="preserve">available </w:t>
      </w:r>
      <w:r w:rsidRPr="00042835">
        <w:rPr>
          <w:rFonts w:ascii="Arial" w:hAnsi="Arial" w:cs="Arial"/>
        </w:rPr>
        <w:t>evidence is methodologically weak, highly heterogeneous, and largely unsuitable for quantifying neurodevelopmental risk in humans</w:t>
      </w:r>
      <w:r w:rsidR="00B71379">
        <w:rPr>
          <w:rFonts w:ascii="Arial" w:hAnsi="Arial" w:cs="Arial"/>
        </w:rPr>
        <w:t xml:space="preserve"> (NASEM, 2021)</w:t>
      </w:r>
      <w:r w:rsidRPr="00042835">
        <w:rPr>
          <w:rFonts w:ascii="Arial" w:hAnsi="Arial" w:cs="Arial"/>
        </w:rPr>
        <w:t xml:space="preserve">. Guth et al.’s risk assessment reached similar conclusions, emphasizing that the available animal data are high-dose, low-quality, and yield margins of exposure that </w:t>
      </w:r>
      <w:r w:rsidRPr="00A529E8">
        <w:rPr>
          <w:rFonts w:ascii="Arial" w:hAnsi="Arial" w:cs="Arial"/>
        </w:rPr>
        <w:t>are reassuring</w:t>
      </w:r>
      <w:r w:rsidRPr="00042835">
        <w:rPr>
          <w:rFonts w:ascii="Arial" w:hAnsi="Arial" w:cs="Arial"/>
        </w:rPr>
        <w:t xml:space="preserve"> at current fluoride intakes. </w:t>
      </w:r>
      <w:r w:rsidR="00426295">
        <w:rPr>
          <w:rFonts w:ascii="Arial" w:hAnsi="Arial" w:cs="Arial"/>
        </w:rPr>
        <w:t>T</w:t>
      </w:r>
      <w:r w:rsidRPr="00042835">
        <w:rPr>
          <w:rFonts w:ascii="Arial" w:hAnsi="Arial" w:cs="Arial"/>
        </w:rPr>
        <w:t xml:space="preserve">ogether, these reviews show that </w:t>
      </w:r>
      <w:r w:rsidRPr="00BB3106">
        <w:rPr>
          <w:rFonts w:ascii="Arial" w:hAnsi="Arial" w:cs="Arial"/>
          <w:i/>
          <w:iCs/>
          <w:u w:val="single"/>
        </w:rPr>
        <w:t>animal studies cannot credibly be used to claim that fluoride at levels used in community water fluoridation is a proven developmental neurotoxicant</w:t>
      </w:r>
      <w:r w:rsidRPr="00042835">
        <w:rPr>
          <w:rFonts w:ascii="Arial" w:hAnsi="Arial" w:cs="Arial"/>
        </w:rPr>
        <w:t>.</w:t>
      </w:r>
    </w:p>
    <w:p w14:paraId="55EECE20" w14:textId="04B9D089" w:rsidR="005541D6" w:rsidRDefault="005541D6" w:rsidP="005541D6">
      <w:pPr>
        <w:spacing w:after="160" w:line="259" w:lineRule="auto"/>
        <w:rPr>
          <w:rFonts w:ascii="Arial" w:hAnsi="Arial" w:cs="Arial"/>
        </w:rPr>
      </w:pPr>
      <w:r w:rsidRPr="00F601E9">
        <w:rPr>
          <w:rFonts w:ascii="Arial" w:hAnsi="Arial" w:cs="Arial"/>
        </w:rPr>
        <w:t>Additionally, limitations of the animal studies</w:t>
      </w:r>
      <w:r w:rsidR="00DF5EB4">
        <w:rPr>
          <w:rFonts w:ascii="Arial" w:hAnsi="Arial" w:cs="Arial"/>
        </w:rPr>
        <w:t xml:space="preserve"> included in this report</w:t>
      </w:r>
      <w:r w:rsidRPr="00F601E9">
        <w:rPr>
          <w:rFonts w:ascii="Arial" w:hAnsi="Arial" w:cs="Arial"/>
        </w:rPr>
        <w:t>, aside from only testing a single exposure concentration</w:t>
      </w:r>
      <w:r w:rsidR="00E87A67">
        <w:rPr>
          <w:rFonts w:ascii="Arial" w:hAnsi="Arial" w:cs="Arial"/>
        </w:rPr>
        <w:t xml:space="preserve"> and including studies</w:t>
      </w:r>
      <w:r w:rsidR="00716FFA">
        <w:rPr>
          <w:rFonts w:ascii="Arial" w:hAnsi="Arial" w:cs="Arial"/>
        </w:rPr>
        <w:t xml:space="preserve"> without a control</w:t>
      </w:r>
      <w:r w:rsidR="00E87A67">
        <w:rPr>
          <w:rFonts w:ascii="Arial" w:hAnsi="Arial" w:cs="Arial"/>
        </w:rPr>
        <w:t xml:space="preserve"> group</w:t>
      </w:r>
      <w:r w:rsidRPr="00F601E9">
        <w:rPr>
          <w:rFonts w:ascii="Arial" w:hAnsi="Arial" w:cs="Arial"/>
        </w:rPr>
        <w:t>, were not addressed</w:t>
      </w:r>
      <w:r w:rsidR="0019151D">
        <w:rPr>
          <w:rFonts w:ascii="Arial" w:hAnsi="Arial" w:cs="Arial"/>
        </w:rPr>
        <w:t xml:space="preserve"> within the CL</w:t>
      </w:r>
      <w:r w:rsidR="00B859D4">
        <w:rPr>
          <w:rFonts w:ascii="Arial" w:hAnsi="Arial" w:cs="Arial"/>
        </w:rPr>
        <w:t>H</w:t>
      </w:r>
      <w:r w:rsidR="0019151D">
        <w:rPr>
          <w:rFonts w:ascii="Arial" w:hAnsi="Arial" w:cs="Arial"/>
        </w:rPr>
        <w:t xml:space="preserve"> report</w:t>
      </w:r>
      <w:r w:rsidRPr="00F601E9">
        <w:rPr>
          <w:rFonts w:ascii="Arial" w:hAnsi="Arial" w:cs="Arial"/>
        </w:rPr>
        <w:t>. This includes litter</w:t>
      </w:r>
      <w:r w:rsidR="00F25AB1">
        <w:rPr>
          <w:rFonts w:ascii="Arial" w:hAnsi="Arial" w:cs="Arial"/>
        </w:rPr>
        <w:t>-</w:t>
      </w:r>
      <w:r w:rsidRPr="00F601E9">
        <w:rPr>
          <w:rFonts w:ascii="Arial" w:hAnsi="Arial" w:cs="Arial"/>
        </w:rPr>
        <w:t xml:space="preserve">specific effects </w:t>
      </w:r>
      <w:r w:rsidR="00081DF4">
        <w:rPr>
          <w:rFonts w:ascii="Arial" w:hAnsi="Arial" w:cs="Arial"/>
        </w:rPr>
        <w:t>because</w:t>
      </w:r>
      <w:r w:rsidR="007E2C5F">
        <w:rPr>
          <w:rFonts w:ascii="Arial" w:hAnsi="Arial" w:cs="Arial"/>
        </w:rPr>
        <w:t xml:space="preserve"> </w:t>
      </w:r>
      <w:r w:rsidR="007E2C5F" w:rsidRPr="007E2C5F">
        <w:rPr>
          <w:rFonts w:ascii="Arial" w:hAnsi="Arial" w:cs="Arial"/>
        </w:rPr>
        <w:t xml:space="preserve">pups from the same litter are not independent </w:t>
      </w:r>
      <w:r w:rsidR="00081DF4">
        <w:rPr>
          <w:rFonts w:ascii="Arial" w:hAnsi="Arial" w:cs="Arial"/>
        </w:rPr>
        <w:t>units of analysis</w:t>
      </w:r>
      <w:r w:rsidR="007E2C5F" w:rsidRPr="007E2C5F">
        <w:rPr>
          <w:rFonts w:ascii="Arial" w:hAnsi="Arial" w:cs="Arial"/>
        </w:rPr>
        <w:t>. When litter is ignored, the statistical analysis becomes invalid, the study’s precision is exaggerated, and the findings</w:t>
      </w:r>
      <w:r w:rsidR="007E2C5F">
        <w:rPr>
          <w:rFonts w:ascii="Arial" w:hAnsi="Arial" w:cs="Arial"/>
        </w:rPr>
        <w:t xml:space="preserve">, </w:t>
      </w:r>
      <w:r w:rsidR="007E2C5F" w:rsidRPr="007E2C5F">
        <w:rPr>
          <w:rFonts w:ascii="Arial" w:hAnsi="Arial" w:cs="Arial"/>
        </w:rPr>
        <w:t>whether positive or null</w:t>
      </w:r>
      <w:r w:rsidR="007E2C5F">
        <w:rPr>
          <w:rFonts w:ascii="Arial" w:hAnsi="Arial" w:cs="Arial"/>
        </w:rPr>
        <w:t xml:space="preserve">, </w:t>
      </w:r>
      <w:r w:rsidR="007E2C5F" w:rsidRPr="007E2C5F">
        <w:rPr>
          <w:rFonts w:ascii="Arial" w:hAnsi="Arial" w:cs="Arial"/>
        </w:rPr>
        <w:t>cannot be trusted.</w:t>
      </w:r>
      <w:r w:rsidR="00E06DC1">
        <w:rPr>
          <w:rFonts w:ascii="Arial" w:hAnsi="Arial" w:cs="Arial"/>
        </w:rPr>
        <w:t xml:space="preserve"> Furthermore, </w:t>
      </w:r>
      <w:r w:rsidRPr="00F601E9">
        <w:rPr>
          <w:rFonts w:ascii="Arial" w:hAnsi="Arial" w:cs="Arial"/>
        </w:rPr>
        <w:t>the order of behavio</w:t>
      </w:r>
      <w:r w:rsidR="008E547D">
        <w:rPr>
          <w:rFonts w:ascii="Arial" w:hAnsi="Arial" w:cs="Arial"/>
        </w:rPr>
        <w:t>u</w:t>
      </w:r>
      <w:r w:rsidRPr="00F601E9">
        <w:rPr>
          <w:rFonts w:ascii="Arial" w:hAnsi="Arial" w:cs="Arial"/>
        </w:rPr>
        <w:t>ral tests</w:t>
      </w:r>
      <w:r w:rsidR="00E06DC1">
        <w:rPr>
          <w:rFonts w:ascii="Arial" w:hAnsi="Arial" w:cs="Arial"/>
        </w:rPr>
        <w:t xml:space="preserve"> is also not addressed</w:t>
      </w:r>
      <w:r w:rsidRPr="00F601E9">
        <w:rPr>
          <w:rFonts w:ascii="Arial" w:hAnsi="Arial" w:cs="Arial"/>
        </w:rPr>
        <w:t xml:space="preserve">, </w:t>
      </w:r>
      <w:r w:rsidR="00081DF4">
        <w:rPr>
          <w:rFonts w:ascii="Arial" w:hAnsi="Arial" w:cs="Arial"/>
        </w:rPr>
        <w:t>despite evidence that</w:t>
      </w:r>
      <w:r w:rsidRPr="00F601E9">
        <w:rPr>
          <w:rFonts w:ascii="Arial" w:hAnsi="Arial" w:cs="Arial"/>
        </w:rPr>
        <w:t xml:space="preserve"> behavioral effects from one paradigm can feed forward to influence subsequent behavioral tests. </w:t>
      </w:r>
    </w:p>
    <w:p w14:paraId="103700F6" w14:textId="690E0368" w:rsidR="000412F9" w:rsidRDefault="000412F9" w:rsidP="000412F9">
      <w:pPr>
        <w:spacing w:line="259" w:lineRule="auto"/>
        <w:contextualSpacing/>
        <w:rPr>
          <w:rFonts w:ascii="Arial" w:hAnsi="Arial" w:cs="Arial"/>
        </w:rPr>
      </w:pPr>
      <w:r>
        <w:rPr>
          <w:rFonts w:ascii="Arial" w:hAnsi="Arial" w:cs="Arial"/>
        </w:rPr>
        <w:t>Studies have also shown that</w:t>
      </w:r>
      <w:r w:rsidRPr="005C744C">
        <w:rPr>
          <w:rFonts w:ascii="Arial" w:hAnsi="Arial" w:cs="Arial"/>
        </w:rPr>
        <w:t xml:space="preserve"> the margin of exposure (</w:t>
      </w:r>
      <w:proofErr w:type="spellStart"/>
      <w:r w:rsidRPr="005C744C">
        <w:rPr>
          <w:rFonts w:ascii="Arial" w:hAnsi="Arial" w:cs="Arial"/>
        </w:rPr>
        <w:t>MoE</w:t>
      </w:r>
      <w:proofErr w:type="spellEnd"/>
      <w:r w:rsidRPr="005C744C">
        <w:rPr>
          <w:rFonts w:ascii="Arial" w:hAnsi="Arial" w:cs="Arial"/>
        </w:rPr>
        <w:t>) between no observed adverse effect levels (NOAELs) in animal studies</w:t>
      </w:r>
      <w:r w:rsidR="00215CEA">
        <w:rPr>
          <w:rFonts w:ascii="Arial" w:hAnsi="Arial" w:cs="Arial"/>
        </w:rPr>
        <w:t>,</w:t>
      </w:r>
      <w:r w:rsidRPr="005C744C">
        <w:rPr>
          <w:rFonts w:ascii="Arial" w:hAnsi="Arial" w:cs="Arial"/>
        </w:rPr>
        <w:t xml:space="preserve"> and the current adequate intake (AI) of fluoride (50 </w:t>
      </w:r>
      <w:proofErr w:type="spellStart"/>
      <w:r w:rsidRPr="005C744C">
        <w:rPr>
          <w:rFonts w:ascii="Arial" w:hAnsi="Arial" w:cs="Arial"/>
        </w:rPr>
        <w:t>μg</w:t>
      </w:r>
      <w:proofErr w:type="spellEnd"/>
      <w:r w:rsidRPr="005C744C">
        <w:rPr>
          <w:rFonts w:ascii="Arial" w:hAnsi="Arial" w:cs="Arial"/>
        </w:rPr>
        <w:t xml:space="preserve">/kg </w:t>
      </w:r>
      <w:proofErr w:type="spellStart"/>
      <w:r w:rsidRPr="005C744C">
        <w:rPr>
          <w:rFonts w:ascii="Arial" w:hAnsi="Arial" w:cs="Arial"/>
        </w:rPr>
        <w:t>b.w.</w:t>
      </w:r>
      <w:proofErr w:type="spellEnd"/>
      <w:r w:rsidRPr="005C744C">
        <w:rPr>
          <w:rFonts w:ascii="Arial" w:hAnsi="Arial" w:cs="Arial"/>
        </w:rPr>
        <w:t>/day) in humans</w:t>
      </w:r>
      <w:r w:rsidR="00215CEA">
        <w:rPr>
          <w:rFonts w:ascii="Arial" w:hAnsi="Arial" w:cs="Arial"/>
        </w:rPr>
        <w:t>,</w:t>
      </w:r>
      <w:r w:rsidRPr="005C744C">
        <w:rPr>
          <w:rFonts w:ascii="Arial" w:hAnsi="Arial" w:cs="Arial"/>
        </w:rPr>
        <w:t xml:space="preserve"> ranges between 50 and 210</w:t>
      </w:r>
      <w:r w:rsidR="00215CEA">
        <w:rPr>
          <w:rFonts w:ascii="Arial" w:hAnsi="Arial" w:cs="Arial"/>
        </w:rPr>
        <w:t xml:space="preserve"> </w:t>
      </w:r>
      <w:r w:rsidRPr="005C744C">
        <w:rPr>
          <w:rFonts w:ascii="Arial" w:hAnsi="Arial" w:cs="Arial"/>
        </w:rPr>
        <w:t xml:space="preserve">depending on the specific animal experiment used as reference. Even for unusually high fluoride exposure levels, an </w:t>
      </w:r>
      <w:proofErr w:type="spellStart"/>
      <w:r w:rsidRPr="005C744C">
        <w:rPr>
          <w:rFonts w:ascii="Arial" w:hAnsi="Arial" w:cs="Arial"/>
        </w:rPr>
        <w:t>MoE</w:t>
      </w:r>
      <w:proofErr w:type="spellEnd"/>
      <w:r w:rsidRPr="005C744C">
        <w:rPr>
          <w:rFonts w:ascii="Arial" w:hAnsi="Arial" w:cs="Arial"/>
        </w:rPr>
        <w:t xml:space="preserve"> of at least ten was obtained. Furthermore, concentrations of fluoride in human plasma are much lower than fluoride concentrations</w:t>
      </w:r>
      <w:r>
        <w:rPr>
          <w:rFonts w:ascii="Arial" w:hAnsi="Arial" w:cs="Arial"/>
        </w:rPr>
        <w:t xml:space="preserve"> in animal studies</w:t>
      </w:r>
      <w:r w:rsidRPr="005C744C">
        <w:rPr>
          <w:rFonts w:ascii="Arial" w:hAnsi="Arial" w:cs="Arial"/>
        </w:rPr>
        <w:t xml:space="preserve"> </w:t>
      </w:r>
      <w:r>
        <w:rPr>
          <w:rFonts w:ascii="Arial" w:hAnsi="Arial" w:cs="Arial"/>
        </w:rPr>
        <w:t>that cause</w:t>
      </w:r>
      <w:r w:rsidRPr="005C744C">
        <w:rPr>
          <w:rFonts w:ascii="Arial" w:hAnsi="Arial" w:cs="Arial"/>
        </w:rPr>
        <w:t xml:space="preserve"> effects in cell culture</w:t>
      </w:r>
      <w:r w:rsidR="00C1767A">
        <w:rPr>
          <w:rFonts w:ascii="Arial" w:hAnsi="Arial" w:cs="Arial"/>
        </w:rPr>
        <w:t xml:space="preserve"> experiments</w:t>
      </w:r>
      <w:r w:rsidRPr="005C744C">
        <w:rPr>
          <w:rFonts w:ascii="Arial" w:hAnsi="Arial" w:cs="Arial"/>
        </w:rPr>
        <w:t>.</w:t>
      </w:r>
    </w:p>
    <w:p w14:paraId="2CC4AD3E" w14:textId="77777777" w:rsidR="000412F9" w:rsidRPr="00F601E9" w:rsidRDefault="000412F9" w:rsidP="000412F9">
      <w:pPr>
        <w:spacing w:line="259" w:lineRule="auto"/>
        <w:rPr>
          <w:rFonts w:ascii="Arial" w:hAnsi="Arial" w:cs="Arial"/>
        </w:rPr>
      </w:pPr>
    </w:p>
    <w:p w14:paraId="4B59A001" w14:textId="526567B2" w:rsidR="009063EB" w:rsidRPr="009063EB" w:rsidRDefault="009063EB" w:rsidP="009063EB">
      <w:pPr>
        <w:spacing w:after="160" w:line="259" w:lineRule="auto"/>
        <w:rPr>
          <w:rFonts w:ascii="Arial" w:hAnsi="Arial" w:cs="Arial"/>
        </w:rPr>
      </w:pPr>
      <w:r w:rsidRPr="009063EB">
        <w:rPr>
          <w:rFonts w:ascii="Arial" w:hAnsi="Arial" w:cs="Arial"/>
          <w:b/>
        </w:rPr>
        <w:t>Overinterpretation of high-dose blood-brain barrier evidence</w:t>
      </w:r>
      <w:r w:rsidR="00D52DFC">
        <w:rPr>
          <w:rFonts w:ascii="Arial" w:hAnsi="Arial" w:cs="Arial"/>
          <w:b/>
        </w:rPr>
        <w:t xml:space="preserve"> </w:t>
      </w:r>
      <w:r w:rsidR="00D52DFC" w:rsidRPr="005B109A">
        <w:rPr>
          <w:rFonts w:ascii="Arial" w:hAnsi="Arial" w:cs="Arial"/>
          <w:i/>
          <w:iCs/>
        </w:rPr>
        <w:t xml:space="preserve">(Section </w:t>
      </w:r>
      <w:r w:rsidR="00D52DFC">
        <w:rPr>
          <w:rFonts w:ascii="Arial" w:hAnsi="Arial" w:cs="Arial"/>
          <w:i/>
          <w:iCs/>
        </w:rPr>
        <w:t>9</w:t>
      </w:r>
      <w:r w:rsidR="00907840">
        <w:rPr>
          <w:rFonts w:ascii="Arial" w:hAnsi="Arial" w:cs="Arial"/>
          <w:i/>
          <w:iCs/>
        </w:rPr>
        <w:t>, p. 13 - 14)</w:t>
      </w:r>
    </w:p>
    <w:p w14:paraId="3926BD0C" w14:textId="112E5F9D" w:rsidR="00D108B7" w:rsidRPr="00D108B7" w:rsidRDefault="00D108B7" w:rsidP="00D108B7">
      <w:pPr>
        <w:spacing w:after="160" w:line="259" w:lineRule="auto"/>
        <w:rPr>
          <w:rFonts w:ascii="Arial" w:hAnsi="Arial" w:cs="Arial"/>
        </w:rPr>
      </w:pPr>
      <w:r w:rsidRPr="00D108B7">
        <w:rPr>
          <w:rFonts w:ascii="Arial" w:hAnsi="Arial" w:cs="Arial"/>
        </w:rPr>
        <w:t xml:space="preserve">The CLH report states (p. 13) that “evidence from the literature also show that exposure to fluoride can damage the blood-brain barrier (Qing-Feng et al., 2019).” However, the cited study has limited relevance for human health assessment and hazard classification because Wistar rats were exposed via drinking water to 200 mg/L fluoride for 24 weeks, approximately 286-fold higher than the common regulatory target level for community water fluoridation (0.7 mg/L). Even acknowledging interspecies differences in fluoride </w:t>
      </w:r>
      <w:proofErr w:type="spellStart"/>
      <w:r w:rsidRPr="00D108B7">
        <w:rPr>
          <w:rFonts w:ascii="Arial" w:hAnsi="Arial" w:cs="Arial"/>
        </w:rPr>
        <w:t>toxicokinetics</w:t>
      </w:r>
      <w:proofErr w:type="spellEnd"/>
      <w:r w:rsidRPr="00D108B7">
        <w:rPr>
          <w:rFonts w:ascii="Arial" w:hAnsi="Arial" w:cs="Arial"/>
        </w:rPr>
        <w:t xml:space="preserve"> (e.g., absorption and skeletal accumulation), the extreme exposure conditions </w:t>
      </w:r>
      <w:r w:rsidR="00662CAF">
        <w:rPr>
          <w:rFonts w:ascii="Arial" w:hAnsi="Arial" w:cs="Arial"/>
        </w:rPr>
        <w:t xml:space="preserve">used in this study </w:t>
      </w:r>
      <w:r w:rsidRPr="00D108B7">
        <w:rPr>
          <w:rFonts w:ascii="Arial" w:hAnsi="Arial" w:cs="Arial"/>
        </w:rPr>
        <w:t>substantially limit interpretability and preclude meaningful extrapolation to foreseeable human exposures.</w:t>
      </w:r>
    </w:p>
    <w:p w14:paraId="036AC78F" w14:textId="38539176" w:rsidR="00AE17F1" w:rsidRDefault="00D108B7" w:rsidP="000412F9">
      <w:pPr>
        <w:spacing w:after="160" w:line="259" w:lineRule="auto"/>
        <w:rPr>
          <w:rFonts w:ascii="Arial" w:hAnsi="Arial" w:cs="Arial"/>
        </w:rPr>
      </w:pPr>
      <w:r w:rsidRPr="00D108B7">
        <w:rPr>
          <w:rFonts w:ascii="Arial" w:hAnsi="Arial" w:cs="Arial"/>
        </w:rPr>
        <w:t xml:space="preserve">Despite these limitations, the CLH report subsequently concludes (p. 14) that </w:t>
      </w:r>
      <w:r w:rsidR="00F717C8">
        <w:rPr>
          <w:rFonts w:ascii="Arial" w:hAnsi="Arial" w:cs="Arial"/>
        </w:rPr>
        <w:t>“</w:t>
      </w:r>
      <w:r w:rsidRPr="00D108B7">
        <w:rPr>
          <w:rFonts w:ascii="Arial" w:hAnsi="Arial" w:cs="Arial"/>
        </w:rPr>
        <w:t xml:space="preserve">fluoride can cross the placental barrier, damage the blood-brain barrier and accumulate in various regions of the brain.” In relation to blood-brain barrier effects, this statement is presented as a generalized toxicokinetic property, yet it appears to be underpinned primarily by high-dose animal evidence generated under unrealistic exposure conditions, without corroborating data at exposure levels relevant to human populations. Using such high-dose findings to support broad statements regarding blood-brain barrier damage and developmental relevance, without adequate qualification of dose relevance, </w:t>
      </w:r>
      <w:proofErr w:type="gramStart"/>
      <w:r w:rsidRPr="00D108B7">
        <w:rPr>
          <w:rFonts w:ascii="Arial" w:hAnsi="Arial" w:cs="Arial"/>
        </w:rPr>
        <w:t>risks</w:t>
      </w:r>
      <w:proofErr w:type="gramEnd"/>
      <w:r w:rsidRPr="00D108B7">
        <w:rPr>
          <w:rFonts w:ascii="Arial" w:hAnsi="Arial" w:cs="Arial"/>
        </w:rPr>
        <w:t xml:space="preserve"> overinterpretation and may bias subsequent weight-of-evidence conclusions</w:t>
      </w:r>
      <w:r w:rsidR="002F0856">
        <w:rPr>
          <w:rFonts w:ascii="Arial" w:hAnsi="Arial" w:cs="Arial"/>
        </w:rPr>
        <w:t>. A</w:t>
      </w:r>
      <w:r w:rsidRPr="00D108B7">
        <w:rPr>
          <w:rFonts w:ascii="Arial" w:hAnsi="Arial" w:cs="Arial"/>
        </w:rPr>
        <w:t xml:space="preserve">ccordingly, this evidence should be treated with </w:t>
      </w:r>
      <w:r w:rsidR="002F0856">
        <w:rPr>
          <w:rFonts w:ascii="Arial" w:hAnsi="Arial" w:cs="Arial"/>
        </w:rPr>
        <w:t xml:space="preserve">extreme </w:t>
      </w:r>
      <w:r w:rsidRPr="00D108B7">
        <w:rPr>
          <w:rFonts w:ascii="Arial" w:hAnsi="Arial" w:cs="Arial"/>
        </w:rPr>
        <w:t>caution in the context of hazard classification.</w:t>
      </w:r>
    </w:p>
    <w:p w14:paraId="0577D446" w14:textId="231EBAD9" w:rsidR="00AE17F1" w:rsidRDefault="00AE17F1" w:rsidP="000412F9">
      <w:pPr>
        <w:spacing w:before="160" w:after="160" w:line="259" w:lineRule="auto"/>
        <w:contextualSpacing/>
        <w:rPr>
          <w:rFonts w:ascii="Arial" w:hAnsi="Arial" w:cs="Arial"/>
        </w:rPr>
      </w:pPr>
      <w:r>
        <w:rPr>
          <w:rFonts w:ascii="Arial" w:hAnsi="Arial" w:cs="Arial"/>
        </w:rPr>
        <w:t xml:space="preserve">Therefore, it is critical that data across diverse exposure contexts not be synthesized. </w:t>
      </w:r>
      <w:r w:rsidRPr="00DE1FAE">
        <w:rPr>
          <w:rFonts w:ascii="Arial" w:hAnsi="Arial" w:cs="Arial"/>
          <w:b/>
          <w:bCs/>
        </w:rPr>
        <w:t>It is important to distinguish studies conducted in high-fluoride endemic settings from those relevant to community prevention exposure ranges, as extrapolation across these contexts introduces substantial uncertainty</w:t>
      </w:r>
      <w:r w:rsidRPr="00DE1FAE">
        <w:rPr>
          <w:rFonts w:ascii="Arial" w:hAnsi="Arial" w:cs="Arial"/>
        </w:rPr>
        <w:t xml:space="preserve">. </w:t>
      </w:r>
    </w:p>
    <w:p w14:paraId="1CB1E49D" w14:textId="77777777" w:rsidR="009063EB" w:rsidRDefault="009063EB" w:rsidP="00ED4E90">
      <w:pPr>
        <w:spacing w:after="160" w:line="259" w:lineRule="auto"/>
        <w:rPr>
          <w:rFonts w:ascii="Arial" w:hAnsi="Arial" w:cs="Arial"/>
        </w:rPr>
      </w:pPr>
    </w:p>
    <w:p w14:paraId="290EC550" w14:textId="65476F78" w:rsidR="0059331C" w:rsidRPr="00463417" w:rsidRDefault="0059331C" w:rsidP="004D4D70">
      <w:pPr>
        <w:spacing w:before="160" w:after="160" w:line="259" w:lineRule="auto"/>
        <w:rPr>
          <w:rFonts w:ascii="Arial" w:hAnsi="Arial" w:cs="Arial"/>
          <w:b/>
          <w:bCs/>
          <w:color w:val="2F5496" w:themeColor="accent1" w:themeShade="BF"/>
        </w:rPr>
      </w:pPr>
      <w:r w:rsidRPr="00463417">
        <w:rPr>
          <w:rFonts w:ascii="Arial" w:hAnsi="Arial" w:cs="Arial"/>
          <w:b/>
          <w:bCs/>
          <w:color w:val="2F5496" w:themeColor="accent1" w:themeShade="BF"/>
        </w:rPr>
        <w:t>Reproductive Toxicity: Endpoint Relevance, Study Design Limitations, and Weight-of-Evidence Interpretation</w:t>
      </w:r>
      <w:r w:rsidR="002B3104">
        <w:rPr>
          <w:rFonts w:ascii="Arial" w:hAnsi="Arial" w:cs="Arial"/>
          <w:b/>
          <w:bCs/>
          <w:color w:val="2F5496" w:themeColor="accent1" w:themeShade="BF"/>
        </w:rPr>
        <w:t xml:space="preserve"> </w:t>
      </w:r>
      <w:r w:rsidR="002B3104" w:rsidRPr="002B3104">
        <w:rPr>
          <w:rFonts w:ascii="Arial" w:hAnsi="Arial" w:cs="Arial"/>
          <w:b/>
          <w:bCs/>
          <w:color w:val="2F5496" w:themeColor="accent1" w:themeShade="BF"/>
        </w:rPr>
        <w:t>(CLH Report Section 10.10, pages 21-104)</w:t>
      </w:r>
    </w:p>
    <w:p w14:paraId="7088D4C8" w14:textId="317E5857" w:rsidR="00395D29" w:rsidRDefault="00395D29" w:rsidP="00862E6F">
      <w:pPr>
        <w:spacing w:after="160" w:line="259" w:lineRule="auto"/>
        <w:rPr>
          <w:rFonts w:ascii="Arial" w:hAnsi="Arial" w:cs="Arial"/>
        </w:rPr>
      </w:pPr>
      <w:r w:rsidRPr="00395D29">
        <w:rPr>
          <w:rFonts w:ascii="Arial" w:hAnsi="Arial" w:cs="Arial"/>
        </w:rPr>
        <w:t xml:space="preserve">Many of the in vivo studies relied upon in the CLH report provide insufficient reporting of key indicators of systemic toxicity (e.g., food and water intake, body weight, and clinical indicators) </w:t>
      </w:r>
      <w:r w:rsidR="00551C8E">
        <w:rPr>
          <w:rFonts w:ascii="Arial" w:hAnsi="Arial" w:cs="Arial"/>
        </w:rPr>
        <w:t xml:space="preserve">and </w:t>
      </w:r>
      <w:r w:rsidR="00551C8E" w:rsidRPr="00551C8E">
        <w:rPr>
          <w:rFonts w:ascii="Arial" w:hAnsi="Arial" w:cs="Arial"/>
        </w:rPr>
        <w:t>do not</w:t>
      </w:r>
      <w:r w:rsidR="00551C8E">
        <w:rPr>
          <w:rFonts w:ascii="Arial" w:hAnsi="Arial" w:cs="Arial"/>
        </w:rPr>
        <w:t xml:space="preserve"> </w:t>
      </w:r>
      <w:r w:rsidRPr="00395D29">
        <w:rPr>
          <w:rFonts w:ascii="Arial" w:hAnsi="Arial" w:cs="Arial"/>
        </w:rPr>
        <w:t xml:space="preserve">allow </w:t>
      </w:r>
      <w:r w:rsidR="00551C8E">
        <w:rPr>
          <w:rFonts w:ascii="Arial" w:hAnsi="Arial" w:cs="Arial"/>
        </w:rPr>
        <w:t xml:space="preserve">for </w:t>
      </w:r>
      <w:r w:rsidRPr="00395D29">
        <w:rPr>
          <w:rFonts w:ascii="Arial" w:hAnsi="Arial" w:cs="Arial"/>
        </w:rPr>
        <w:t>confident determination that reported reproductive findings are independent of, and not secondary to, general toxicity</w:t>
      </w:r>
      <w:r w:rsidR="00871F8C">
        <w:rPr>
          <w:rFonts w:ascii="Arial" w:hAnsi="Arial" w:cs="Arial"/>
        </w:rPr>
        <w:t>. This is a</w:t>
      </w:r>
      <w:r w:rsidRPr="00395D29">
        <w:rPr>
          <w:rFonts w:ascii="Arial" w:hAnsi="Arial" w:cs="Arial"/>
        </w:rPr>
        <w:t xml:space="preserve">n essential distinction because the CLP criteria for Repr. 1B </w:t>
      </w:r>
      <w:r w:rsidR="009365BD">
        <w:rPr>
          <w:rFonts w:ascii="Arial" w:hAnsi="Arial" w:cs="Arial"/>
        </w:rPr>
        <w:t>“</w:t>
      </w:r>
      <w:r w:rsidR="00BE60F1">
        <w:rPr>
          <w:rFonts w:ascii="Arial" w:hAnsi="Arial" w:cs="Arial"/>
        </w:rPr>
        <w:t>…</w:t>
      </w:r>
      <w:r w:rsidR="00484646" w:rsidRPr="009365BD">
        <w:rPr>
          <w:rFonts w:ascii="Arial" w:hAnsi="Arial" w:cs="Arial"/>
          <w:i/>
          <w:iCs/>
        </w:rPr>
        <w:t>requires</w:t>
      </w:r>
      <w:r w:rsidRPr="009365BD">
        <w:rPr>
          <w:rFonts w:ascii="Arial" w:hAnsi="Arial" w:cs="Arial"/>
          <w:i/>
          <w:iCs/>
        </w:rPr>
        <w:t xml:space="preserve"> clear evidence of an adverse effect on sexual function and fertility in the absence of other toxic effects, or, if co-occurring, demonstration that the reproductive effect is not a secondary, non-specific </w:t>
      </w:r>
      <w:r w:rsidRPr="009365BD">
        <w:rPr>
          <w:rFonts w:ascii="Arial" w:hAnsi="Arial" w:cs="Arial"/>
          <w:i/>
          <w:iCs/>
        </w:rPr>
        <w:lastRenderedPageBreak/>
        <w:t>consequence of general toxicity</w:t>
      </w:r>
      <w:r w:rsidR="009365BD">
        <w:rPr>
          <w:rFonts w:ascii="Arial" w:hAnsi="Arial" w:cs="Arial"/>
        </w:rPr>
        <w:t>”</w:t>
      </w:r>
      <w:r w:rsidRPr="00395D29">
        <w:rPr>
          <w:rFonts w:ascii="Arial" w:hAnsi="Arial" w:cs="Arial"/>
        </w:rPr>
        <w:t>. At the same time, the analysis and conclusions in Section 10.10 rely heavily on studies that do not employ the integrated fertility endpoints central to reproductive toxicity classification under CLP (e.g., mating performance, conception, implantation efficiency, litter size, offspring viability), instead emphasizing intermediate or surrogate endpoints (e.g., hormone concentrations, steroidogenic enzyme activity, histology, sperm counts/motility) that</w:t>
      </w:r>
      <w:r w:rsidR="006A72E9">
        <w:rPr>
          <w:rFonts w:ascii="Arial" w:hAnsi="Arial" w:cs="Arial"/>
        </w:rPr>
        <w:t xml:space="preserve">, </w:t>
      </w:r>
      <w:r w:rsidRPr="00395D29">
        <w:rPr>
          <w:rFonts w:ascii="Arial" w:hAnsi="Arial" w:cs="Arial"/>
        </w:rPr>
        <w:t>while potentially informative for hazard identification</w:t>
      </w:r>
      <w:r w:rsidR="006A72E9">
        <w:rPr>
          <w:rFonts w:ascii="Arial" w:hAnsi="Arial" w:cs="Arial"/>
        </w:rPr>
        <w:t xml:space="preserve">, </w:t>
      </w:r>
      <w:r w:rsidRPr="00395D29">
        <w:rPr>
          <w:rFonts w:ascii="Arial" w:hAnsi="Arial" w:cs="Arial"/>
        </w:rPr>
        <w:t>do not on their own demonstrate impaired reproductive performance as defined under CLP Annex I (ECHA, 2017), a concern that is particularly material given the proposed classification as Repr. 1B.</w:t>
      </w:r>
    </w:p>
    <w:p w14:paraId="041FBFDF" w14:textId="7AC1300F" w:rsidR="0059331C" w:rsidRDefault="0059331C" w:rsidP="007E21E5">
      <w:pPr>
        <w:spacing w:line="259" w:lineRule="auto"/>
        <w:rPr>
          <w:rFonts w:ascii="Arial" w:hAnsi="Arial" w:cs="Arial"/>
        </w:rPr>
      </w:pPr>
      <w:r w:rsidRPr="0059331C">
        <w:rPr>
          <w:rFonts w:ascii="Arial" w:hAnsi="Arial" w:cs="Arial"/>
        </w:rPr>
        <w:t xml:space="preserve">The </w:t>
      </w:r>
      <w:r w:rsidR="00505381">
        <w:rPr>
          <w:rFonts w:ascii="Arial" w:hAnsi="Arial" w:cs="Arial"/>
        </w:rPr>
        <w:t xml:space="preserve">CLH </w:t>
      </w:r>
      <w:r w:rsidR="004C4B11">
        <w:rPr>
          <w:rFonts w:ascii="Arial" w:hAnsi="Arial" w:cs="Arial"/>
        </w:rPr>
        <w:t>report</w:t>
      </w:r>
      <w:r w:rsidRPr="0059331C">
        <w:rPr>
          <w:rFonts w:ascii="Arial" w:hAnsi="Arial" w:cs="Arial"/>
        </w:rPr>
        <w:t xml:space="preserve"> states that only studies with Klimisch Scores 1 and 2 were included. While Klimisch scoring </w:t>
      </w:r>
      <w:r w:rsidR="00C171D7" w:rsidRPr="00C751D2">
        <w:rPr>
          <w:rFonts w:ascii="Arial" w:hAnsi="Arial" w:cs="Arial"/>
        </w:rPr>
        <w:t>indicates</w:t>
      </w:r>
      <w:r w:rsidR="00C751D2" w:rsidRPr="00C751D2">
        <w:rPr>
          <w:rFonts w:ascii="Arial" w:hAnsi="Arial" w:cs="Arial"/>
        </w:rPr>
        <w:t xml:space="preserve"> a level of methodological reliability</w:t>
      </w:r>
      <w:r w:rsidRPr="0059331C">
        <w:rPr>
          <w:rFonts w:ascii="Arial" w:hAnsi="Arial" w:cs="Arial"/>
        </w:rPr>
        <w:t xml:space="preserve">, it does not assess the regulatory relevance of endpoints for fertility classification, nor does it distinguish surrogate biological measures from </w:t>
      </w:r>
      <w:r w:rsidR="00015E19">
        <w:rPr>
          <w:rFonts w:ascii="Arial" w:hAnsi="Arial" w:cs="Arial"/>
        </w:rPr>
        <w:t>functional</w:t>
      </w:r>
      <w:r w:rsidRPr="0059331C">
        <w:rPr>
          <w:rFonts w:ascii="Arial" w:hAnsi="Arial" w:cs="Arial"/>
        </w:rPr>
        <w:t xml:space="preserve"> fertility outcomes</w:t>
      </w:r>
      <w:r w:rsidR="007208CC">
        <w:rPr>
          <w:rFonts w:ascii="Arial" w:hAnsi="Arial" w:cs="Arial"/>
        </w:rPr>
        <w:t xml:space="preserve">, </w:t>
      </w:r>
      <w:r w:rsidR="00F77427" w:rsidRPr="00F77427">
        <w:rPr>
          <w:rFonts w:ascii="Arial" w:hAnsi="Arial" w:cs="Arial"/>
        </w:rPr>
        <w:t xml:space="preserve">nor does it assess whether study designs </w:t>
      </w:r>
      <w:r w:rsidR="00B85A68" w:rsidRPr="00F77427">
        <w:rPr>
          <w:rFonts w:ascii="Arial" w:hAnsi="Arial" w:cs="Arial"/>
        </w:rPr>
        <w:t>can demonstrate</w:t>
      </w:r>
      <w:r w:rsidR="00F77427" w:rsidRPr="00F77427">
        <w:rPr>
          <w:rFonts w:ascii="Arial" w:hAnsi="Arial" w:cs="Arial"/>
        </w:rPr>
        <w:t xml:space="preserve"> impaired reproductive performance.</w:t>
      </w:r>
      <w:r w:rsidRPr="0059331C">
        <w:rPr>
          <w:rFonts w:ascii="Arial" w:hAnsi="Arial" w:cs="Arial"/>
        </w:rPr>
        <w:t xml:space="preserve"> Given the regulatory implications of a Repr. 1B proposal, </w:t>
      </w:r>
      <w:r w:rsidRPr="0083073B">
        <w:rPr>
          <w:rFonts w:ascii="Arial" w:hAnsi="Arial" w:cs="Arial"/>
          <w:b/>
          <w:bCs/>
        </w:rPr>
        <w:t xml:space="preserve">IADR </w:t>
      </w:r>
      <w:r w:rsidR="003075B6" w:rsidRPr="0083073B">
        <w:rPr>
          <w:rFonts w:ascii="Arial" w:hAnsi="Arial" w:cs="Arial"/>
          <w:b/>
          <w:bCs/>
        </w:rPr>
        <w:t xml:space="preserve">urges </w:t>
      </w:r>
      <w:r w:rsidR="001A3948" w:rsidRPr="0083073B">
        <w:rPr>
          <w:rFonts w:ascii="Arial" w:hAnsi="Arial" w:cs="Arial"/>
          <w:b/>
          <w:bCs/>
        </w:rPr>
        <w:t>further analysis to assess</w:t>
      </w:r>
      <w:r w:rsidRPr="0083073B">
        <w:rPr>
          <w:rFonts w:ascii="Arial" w:hAnsi="Arial" w:cs="Arial"/>
          <w:b/>
          <w:bCs/>
        </w:rPr>
        <w:t xml:space="preserve"> endpoint relevance and study design capability to detect functional fertility impairment</w:t>
      </w:r>
      <w:r w:rsidR="00DA33A3">
        <w:rPr>
          <w:rFonts w:ascii="Arial" w:hAnsi="Arial" w:cs="Arial"/>
        </w:rPr>
        <w:t>.</w:t>
      </w:r>
    </w:p>
    <w:p w14:paraId="5DEF9C4E" w14:textId="77777777" w:rsidR="00877EA0" w:rsidRPr="0059331C" w:rsidRDefault="00877EA0" w:rsidP="00877EA0">
      <w:pPr>
        <w:spacing w:line="259" w:lineRule="auto"/>
        <w:rPr>
          <w:rFonts w:ascii="Arial" w:hAnsi="Arial" w:cs="Arial"/>
        </w:rPr>
      </w:pPr>
    </w:p>
    <w:p w14:paraId="51107F3D" w14:textId="59022349" w:rsidR="0059331C" w:rsidRDefault="00AB7351" w:rsidP="008F06C5">
      <w:pPr>
        <w:spacing w:line="259" w:lineRule="auto"/>
        <w:rPr>
          <w:rFonts w:ascii="Arial" w:hAnsi="Arial" w:cs="Arial"/>
          <w:b/>
          <w:bCs/>
        </w:rPr>
      </w:pPr>
      <w:r w:rsidRPr="00AB7351">
        <w:rPr>
          <w:rFonts w:ascii="Arial" w:hAnsi="Arial" w:cs="Arial"/>
          <w:b/>
          <w:bCs/>
        </w:rPr>
        <w:t>S</w:t>
      </w:r>
      <w:r w:rsidR="0059331C" w:rsidRPr="00AB7351">
        <w:rPr>
          <w:rFonts w:ascii="Arial" w:hAnsi="Arial" w:cs="Arial"/>
          <w:b/>
          <w:bCs/>
        </w:rPr>
        <w:t xml:space="preserve">urrogate </w:t>
      </w:r>
      <w:r w:rsidRPr="00AB7351">
        <w:rPr>
          <w:rFonts w:ascii="Arial" w:hAnsi="Arial" w:cs="Arial"/>
          <w:b/>
          <w:bCs/>
        </w:rPr>
        <w:t>Endpoints and</w:t>
      </w:r>
      <w:r w:rsidR="00D04711">
        <w:rPr>
          <w:rFonts w:ascii="Arial" w:hAnsi="Arial" w:cs="Arial"/>
          <w:b/>
          <w:bCs/>
        </w:rPr>
        <w:t xml:space="preserve"> </w:t>
      </w:r>
      <w:r w:rsidRPr="00AB7351">
        <w:rPr>
          <w:rFonts w:ascii="Arial" w:hAnsi="Arial" w:cs="Arial"/>
          <w:b/>
          <w:bCs/>
        </w:rPr>
        <w:t>General Toxicity Confounding</w:t>
      </w:r>
      <w:r w:rsidR="003267A0">
        <w:rPr>
          <w:rFonts w:ascii="Arial" w:hAnsi="Arial" w:cs="Arial"/>
          <w:b/>
          <w:bCs/>
        </w:rPr>
        <w:t xml:space="preserve"> </w:t>
      </w:r>
      <w:r w:rsidR="003267A0" w:rsidRPr="00642058">
        <w:rPr>
          <w:rFonts w:ascii="Arial" w:hAnsi="Arial" w:cs="Arial"/>
          <w:i/>
          <w:iCs/>
        </w:rPr>
        <w:t>(Section 10.10.1.1</w:t>
      </w:r>
      <w:r w:rsidR="007A49BC" w:rsidRPr="00642058">
        <w:rPr>
          <w:rFonts w:ascii="Arial" w:hAnsi="Arial" w:cs="Arial"/>
          <w:i/>
          <w:iCs/>
        </w:rPr>
        <w:t>, p. 22-</w:t>
      </w:r>
      <w:r w:rsidR="00642058" w:rsidRPr="00642058">
        <w:rPr>
          <w:rFonts w:ascii="Arial" w:hAnsi="Arial" w:cs="Arial"/>
          <w:i/>
          <w:iCs/>
        </w:rPr>
        <w:t>94)</w:t>
      </w:r>
    </w:p>
    <w:p w14:paraId="4C66184C" w14:textId="69A2489F" w:rsidR="0059331C" w:rsidRPr="0059331C" w:rsidRDefault="0059331C" w:rsidP="008F06C5">
      <w:pPr>
        <w:spacing w:line="259" w:lineRule="auto"/>
        <w:rPr>
          <w:rFonts w:ascii="Arial" w:hAnsi="Arial" w:cs="Arial"/>
        </w:rPr>
      </w:pPr>
      <w:r w:rsidRPr="00973F19">
        <w:rPr>
          <w:rFonts w:ascii="Arial" w:hAnsi="Arial" w:cs="Arial"/>
          <w:u w:val="single"/>
        </w:rPr>
        <w:t>Table 15</w:t>
      </w:r>
      <w:r w:rsidRPr="0059331C">
        <w:rPr>
          <w:rFonts w:ascii="Arial" w:hAnsi="Arial" w:cs="Arial"/>
        </w:rPr>
        <w:t xml:space="preserve"> is presented as a coherent weight of evidence, with claims that “all except one” study shows male fertility toxicity at doses of 0.104–21.6 mg/kg </w:t>
      </w:r>
      <w:proofErr w:type="spellStart"/>
      <w:r w:rsidRPr="0059331C">
        <w:rPr>
          <w:rFonts w:ascii="Arial" w:hAnsi="Arial" w:cs="Arial"/>
        </w:rPr>
        <w:t>bw</w:t>
      </w:r>
      <w:proofErr w:type="spellEnd"/>
      <w:r w:rsidRPr="0059331C">
        <w:rPr>
          <w:rFonts w:ascii="Arial" w:hAnsi="Arial" w:cs="Arial"/>
        </w:rPr>
        <w:t xml:space="preserve">/day and “in absence of marked or less marked general toxicity.” However, the animal studies summarized largely comprise high-dose drinking-water or gavage designs focused on surrogate endpoints (e.g., steroidogenic enzymes, endocrine markers, histological findings) without measuring integrated fertility outcomes. Moreover, multiple studies originate from the same laboratory groups using similar experimental approaches and outcome measures; </w:t>
      </w:r>
      <w:r w:rsidR="008731B3">
        <w:rPr>
          <w:rFonts w:ascii="Arial" w:hAnsi="Arial" w:cs="Arial"/>
        </w:rPr>
        <w:t>hence</w:t>
      </w:r>
      <w:r w:rsidRPr="0059331C">
        <w:rPr>
          <w:rFonts w:ascii="Arial" w:hAnsi="Arial" w:cs="Arial"/>
        </w:rPr>
        <w:t>, the apparent internal consistency may reflect repeated use of similar designs rather than independent replication across diverse methods and blinded outcome assessment.</w:t>
      </w:r>
      <w:r w:rsidR="008731B3">
        <w:rPr>
          <w:rFonts w:ascii="Arial" w:hAnsi="Arial" w:cs="Arial"/>
        </w:rPr>
        <w:t xml:space="preserve"> </w:t>
      </w:r>
      <w:r w:rsidR="000D1F62" w:rsidRPr="00A529E8">
        <w:rPr>
          <w:rFonts w:ascii="Arial" w:hAnsi="Arial" w:cs="Arial"/>
          <w:b/>
          <w:bCs/>
        </w:rPr>
        <w:t>Therefore,</w:t>
      </w:r>
      <w:r w:rsidR="008731B3" w:rsidRPr="00A529E8">
        <w:rPr>
          <w:rFonts w:ascii="Arial" w:hAnsi="Arial" w:cs="Arial"/>
          <w:b/>
          <w:bCs/>
        </w:rPr>
        <w:t xml:space="preserve"> they do not meet the evidentiary requirements for reproductive toxicity classification under CLP Annex I.</w:t>
      </w:r>
    </w:p>
    <w:p w14:paraId="28EAD1B5" w14:textId="4B60A404" w:rsidR="006669BA" w:rsidRDefault="0059331C" w:rsidP="0059331C">
      <w:pPr>
        <w:spacing w:after="160" w:line="259" w:lineRule="auto"/>
        <w:rPr>
          <w:rFonts w:ascii="Arial" w:hAnsi="Arial" w:cs="Arial"/>
        </w:rPr>
      </w:pPr>
      <w:r w:rsidRPr="0059331C">
        <w:rPr>
          <w:rFonts w:ascii="Arial" w:hAnsi="Arial" w:cs="Arial"/>
        </w:rPr>
        <w:t xml:space="preserve">Selected examples illustrate why several studies </w:t>
      </w:r>
      <w:r w:rsidR="00E152F6">
        <w:rPr>
          <w:rFonts w:ascii="Arial" w:hAnsi="Arial" w:cs="Arial"/>
        </w:rPr>
        <w:t>reported</w:t>
      </w:r>
      <w:r w:rsidR="00C17552">
        <w:rPr>
          <w:rFonts w:ascii="Arial" w:hAnsi="Arial" w:cs="Arial"/>
        </w:rPr>
        <w:t xml:space="preserve"> to show</w:t>
      </w:r>
      <w:r w:rsidRPr="0059331C">
        <w:rPr>
          <w:rFonts w:ascii="Arial" w:hAnsi="Arial" w:cs="Arial"/>
        </w:rPr>
        <w:t xml:space="preserve"> male fertility toxicity</w:t>
      </w:r>
      <w:r w:rsidR="000D1F62">
        <w:rPr>
          <w:rFonts w:ascii="Arial" w:hAnsi="Arial" w:cs="Arial"/>
        </w:rPr>
        <w:t xml:space="preserve"> </w:t>
      </w:r>
      <w:r w:rsidRPr="0059331C">
        <w:rPr>
          <w:rFonts w:ascii="Arial" w:hAnsi="Arial" w:cs="Arial"/>
        </w:rPr>
        <w:t xml:space="preserve">do not </w:t>
      </w:r>
      <w:r w:rsidR="00E152F6">
        <w:rPr>
          <w:rFonts w:ascii="Arial" w:hAnsi="Arial" w:cs="Arial"/>
        </w:rPr>
        <w:t xml:space="preserve">in fact </w:t>
      </w:r>
      <w:r w:rsidRPr="0059331C">
        <w:rPr>
          <w:rFonts w:ascii="Arial" w:hAnsi="Arial" w:cs="Arial"/>
        </w:rPr>
        <w:t>demonstrate functional fertility impairment:</w:t>
      </w:r>
    </w:p>
    <w:p w14:paraId="2282FF46" w14:textId="77777777" w:rsidR="00775CF7" w:rsidRDefault="0059331C" w:rsidP="0059331C">
      <w:pPr>
        <w:pStyle w:val="ListParagraph"/>
        <w:numPr>
          <w:ilvl w:val="0"/>
          <w:numId w:val="8"/>
        </w:numPr>
        <w:spacing w:after="160" w:line="259" w:lineRule="auto"/>
        <w:rPr>
          <w:rFonts w:ascii="Arial" w:hAnsi="Arial" w:cs="Arial"/>
        </w:rPr>
      </w:pPr>
      <w:r w:rsidRPr="006669BA">
        <w:rPr>
          <w:rFonts w:ascii="Arial" w:hAnsi="Arial" w:cs="Arial"/>
        </w:rPr>
        <w:t>Das et al. (2006)</w:t>
      </w:r>
      <w:r w:rsidR="006669BA">
        <w:rPr>
          <w:rFonts w:ascii="Arial" w:hAnsi="Arial" w:cs="Arial"/>
        </w:rPr>
        <w:t xml:space="preserve"> </w:t>
      </w:r>
      <w:r w:rsidRPr="006669BA">
        <w:rPr>
          <w:rFonts w:ascii="Arial" w:hAnsi="Arial" w:cs="Arial"/>
        </w:rPr>
        <w:t>primarily assessed steroidogenic enzyme activity (e.g., Δ⁵,3β-HSD, 17β-HSD), plasma hormones (testosterone, FSH, LH), and germ cell quantification at a spermatogenic stage. These endpoints are</w:t>
      </w:r>
      <w:r w:rsidR="00BB0734">
        <w:rPr>
          <w:rFonts w:ascii="Arial" w:hAnsi="Arial" w:cs="Arial"/>
        </w:rPr>
        <w:t xml:space="preserve"> considered</w:t>
      </w:r>
      <w:r w:rsidRPr="006669BA">
        <w:rPr>
          <w:rFonts w:ascii="Arial" w:hAnsi="Arial" w:cs="Arial"/>
        </w:rPr>
        <w:t xml:space="preserve"> biological surrogates that may indicate </w:t>
      </w:r>
      <w:r w:rsidR="007C6300">
        <w:rPr>
          <w:rFonts w:ascii="Arial" w:hAnsi="Arial" w:cs="Arial"/>
        </w:rPr>
        <w:t>fertility potential</w:t>
      </w:r>
      <w:r w:rsidRPr="006669BA">
        <w:rPr>
          <w:rFonts w:ascii="Arial" w:hAnsi="Arial" w:cs="Arial"/>
        </w:rPr>
        <w:t xml:space="preserve">, but they are indirect </w:t>
      </w:r>
      <w:r w:rsidR="005F4E67">
        <w:rPr>
          <w:rFonts w:ascii="Arial" w:hAnsi="Arial" w:cs="Arial"/>
        </w:rPr>
        <w:lastRenderedPageBreak/>
        <w:t xml:space="preserve">measures </w:t>
      </w:r>
      <w:r w:rsidRPr="006669BA">
        <w:rPr>
          <w:rFonts w:ascii="Arial" w:hAnsi="Arial" w:cs="Arial"/>
        </w:rPr>
        <w:t xml:space="preserve">and do not constitute direct evidence of reduced fertility performance </w:t>
      </w:r>
      <w:r w:rsidR="005F4E67">
        <w:rPr>
          <w:rFonts w:ascii="Arial" w:hAnsi="Arial" w:cs="Arial"/>
        </w:rPr>
        <w:t>as defined under</w:t>
      </w:r>
      <w:r w:rsidR="00775CF7">
        <w:rPr>
          <w:rFonts w:ascii="Arial" w:hAnsi="Arial" w:cs="Arial"/>
        </w:rPr>
        <w:t xml:space="preserve"> CLP Annex I.</w:t>
      </w:r>
    </w:p>
    <w:p w14:paraId="6D939DAA" w14:textId="05AF7066" w:rsidR="003D1B42" w:rsidRDefault="0059331C" w:rsidP="0059331C">
      <w:pPr>
        <w:pStyle w:val="ListParagraph"/>
        <w:numPr>
          <w:ilvl w:val="0"/>
          <w:numId w:val="8"/>
        </w:numPr>
        <w:spacing w:after="160" w:line="259" w:lineRule="auto"/>
        <w:rPr>
          <w:rFonts w:ascii="Arial" w:hAnsi="Arial" w:cs="Arial"/>
        </w:rPr>
      </w:pPr>
      <w:r w:rsidRPr="00775CF7">
        <w:rPr>
          <w:rFonts w:ascii="Arial" w:hAnsi="Arial" w:cs="Arial"/>
        </w:rPr>
        <w:t>Ghosh et al. (2002)</w:t>
      </w:r>
      <w:r w:rsidR="00775CF7">
        <w:rPr>
          <w:rFonts w:ascii="Arial" w:hAnsi="Arial" w:cs="Arial"/>
        </w:rPr>
        <w:t xml:space="preserve"> that is derived from the</w:t>
      </w:r>
      <w:r w:rsidRPr="00775CF7">
        <w:rPr>
          <w:rFonts w:ascii="Arial" w:hAnsi="Arial" w:cs="Arial"/>
        </w:rPr>
        <w:t xml:space="preserve"> same laboratory group</w:t>
      </w:r>
      <w:r w:rsidR="00775CF7">
        <w:rPr>
          <w:rFonts w:ascii="Arial" w:hAnsi="Arial" w:cs="Arial"/>
        </w:rPr>
        <w:t>,</w:t>
      </w:r>
      <w:r w:rsidRPr="00775CF7">
        <w:rPr>
          <w:rFonts w:ascii="Arial" w:hAnsi="Arial" w:cs="Arial"/>
        </w:rPr>
        <w:t xml:space="preserve"> included sperm count, </w:t>
      </w:r>
      <w:r w:rsidR="00775CF7">
        <w:rPr>
          <w:rFonts w:ascii="Arial" w:hAnsi="Arial" w:cs="Arial"/>
        </w:rPr>
        <w:t xml:space="preserve">however it </w:t>
      </w:r>
      <w:r w:rsidRPr="00775CF7">
        <w:rPr>
          <w:rFonts w:ascii="Arial" w:hAnsi="Arial" w:cs="Arial"/>
        </w:rPr>
        <w:t>did not assess functional sperm parameters or measure reproductive outcomes, limiting interpretability for fertility impairment under CLP Annex I.</w:t>
      </w:r>
    </w:p>
    <w:p w14:paraId="55C0294E" w14:textId="2CEC8629" w:rsidR="00861212" w:rsidRPr="00FB2330" w:rsidRDefault="0059331C" w:rsidP="00FB2330">
      <w:pPr>
        <w:pStyle w:val="ListParagraph"/>
        <w:numPr>
          <w:ilvl w:val="0"/>
          <w:numId w:val="8"/>
        </w:numPr>
        <w:spacing w:after="160" w:line="259" w:lineRule="auto"/>
        <w:rPr>
          <w:rFonts w:ascii="Arial" w:hAnsi="Arial" w:cs="Arial"/>
        </w:rPr>
      </w:pPr>
      <w:r w:rsidRPr="003D1B42">
        <w:rPr>
          <w:rFonts w:ascii="Arial" w:hAnsi="Arial" w:cs="Arial"/>
        </w:rPr>
        <w:t>Gupta et al. (2007)</w:t>
      </w:r>
      <w:r w:rsidR="003D1B42">
        <w:rPr>
          <w:rFonts w:ascii="Arial" w:hAnsi="Arial" w:cs="Arial"/>
        </w:rPr>
        <w:t xml:space="preserve"> </w:t>
      </w:r>
      <w:r w:rsidRPr="003D1B42">
        <w:rPr>
          <w:rFonts w:ascii="Arial" w:hAnsi="Arial" w:cs="Arial"/>
        </w:rPr>
        <w:t>reports adverse changes in male reproductive parameters at relatively low estimated doses</w:t>
      </w:r>
      <w:r w:rsidR="00844842">
        <w:rPr>
          <w:rFonts w:ascii="Arial" w:hAnsi="Arial" w:cs="Arial"/>
        </w:rPr>
        <w:t>,</w:t>
      </w:r>
      <w:r w:rsidRPr="003D1B42">
        <w:rPr>
          <w:rFonts w:ascii="Arial" w:hAnsi="Arial" w:cs="Arial"/>
        </w:rPr>
        <w:t xml:space="preserve"> however, </w:t>
      </w:r>
      <w:r w:rsidR="00495479" w:rsidRPr="00495479">
        <w:rPr>
          <w:rFonts w:ascii="Arial" w:hAnsi="Arial" w:cs="Arial"/>
        </w:rPr>
        <w:t>does not, on its own, demonstrate impaired fertility as defined in CLP Annex I</w:t>
      </w:r>
      <w:r w:rsidR="00AC7A83">
        <w:rPr>
          <w:rFonts w:ascii="Arial" w:hAnsi="Arial" w:cs="Arial"/>
        </w:rPr>
        <w:t xml:space="preserve">. Further, </w:t>
      </w:r>
      <w:r w:rsidRPr="003D1B42">
        <w:rPr>
          <w:rFonts w:ascii="Arial" w:hAnsi="Arial" w:cs="Arial"/>
        </w:rPr>
        <w:t>endpoints such as sperm motility and density are susceptible to observer-dependent measurement bias when assessed without automated systems, blinding, and inter-observer reproducibility reporting. Where these safeguards are not documented, confidence in effect magnitude and study weight should be reduced accordingly.</w:t>
      </w:r>
    </w:p>
    <w:p w14:paraId="286F863C" w14:textId="78D0AD54" w:rsidR="00415A30" w:rsidRDefault="00FB2330" w:rsidP="0059331C">
      <w:pPr>
        <w:spacing w:after="160" w:line="259" w:lineRule="auto"/>
        <w:rPr>
          <w:rFonts w:ascii="Arial" w:hAnsi="Arial" w:cs="Arial"/>
        </w:rPr>
      </w:pPr>
      <w:r>
        <w:rPr>
          <w:rFonts w:ascii="Arial" w:hAnsi="Arial" w:cs="Arial"/>
        </w:rPr>
        <w:t>Additionally, h</w:t>
      </w:r>
      <w:r w:rsidR="0059331C" w:rsidRPr="0059331C">
        <w:rPr>
          <w:rFonts w:ascii="Arial" w:hAnsi="Arial" w:cs="Arial"/>
        </w:rPr>
        <w:t xml:space="preserve">igh-dose drinking-water studies reporting mortality or overt systemic toxicity at higher concentrations (e.g., </w:t>
      </w:r>
      <w:proofErr w:type="spellStart"/>
      <w:r w:rsidR="0059331C" w:rsidRPr="0059331C">
        <w:rPr>
          <w:rFonts w:ascii="Arial" w:hAnsi="Arial" w:cs="Arial"/>
        </w:rPr>
        <w:t>Elbetieha</w:t>
      </w:r>
      <w:proofErr w:type="spellEnd"/>
      <w:r w:rsidR="0059331C" w:rsidRPr="0059331C">
        <w:rPr>
          <w:rFonts w:ascii="Arial" w:hAnsi="Arial" w:cs="Arial"/>
        </w:rPr>
        <w:t xml:space="preserve"> et al., 2000) challenge the </w:t>
      </w:r>
      <w:r w:rsidR="00A86AFD">
        <w:rPr>
          <w:rFonts w:ascii="Arial" w:hAnsi="Arial" w:cs="Arial"/>
        </w:rPr>
        <w:t>report</w:t>
      </w:r>
      <w:r w:rsidR="0059331C" w:rsidRPr="0059331C">
        <w:rPr>
          <w:rFonts w:ascii="Arial" w:hAnsi="Arial" w:cs="Arial"/>
        </w:rPr>
        <w:t>’s general statement that reproductive effects occur in the absence of general toxicity, while reports of reversibility (e.g., Chaithra et al., 2020b) and pubertal-only exposure without adult fertility evaluation (e.g., Wang et al., 2024) further complicate inference regarding sustained functional fertility impairment.</w:t>
      </w:r>
    </w:p>
    <w:p w14:paraId="7BEC778D" w14:textId="3343BBB9" w:rsidR="0059331C" w:rsidRPr="0059331C" w:rsidRDefault="0059331C" w:rsidP="0059331C">
      <w:pPr>
        <w:spacing w:after="160" w:line="259" w:lineRule="auto"/>
        <w:rPr>
          <w:rFonts w:ascii="Arial" w:hAnsi="Arial" w:cs="Arial"/>
        </w:rPr>
      </w:pPr>
      <w:r w:rsidRPr="00973F19">
        <w:rPr>
          <w:rFonts w:ascii="Arial" w:hAnsi="Arial" w:cs="Arial"/>
          <w:u w:val="single"/>
        </w:rPr>
        <w:t>Table 16</w:t>
      </w:r>
      <w:r w:rsidRPr="0059331C">
        <w:rPr>
          <w:rFonts w:ascii="Arial" w:hAnsi="Arial" w:cs="Arial"/>
        </w:rPr>
        <w:t xml:space="preserve"> reinforces this concern: most studies (n≈33) focus on sperm parameters or spermatogenic markers rather than downstream fertility outcomes, with limited pregnancy/litter measures and substantial heterogeneity in study design and results</w:t>
      </w:r>
      <w:r w:rsidR="00DB233C">
        <w:rPr>
          <w:rFonts w:ascii="Arial" w:hAnsi="Arial" w:cs="Arial"/>
        </w:rPr>
        <w:t xml:space="preserve">, </w:t>
      </w:r>
      <w:r w:rsidRPr="0059331C">
        <w:rPr>
          <w:rFonts w:ascii="Arial" w:hAnsi="Arial" w:cs="Arial"/>
        </w:rPr>
        <w:t xml:space="preserve">including null findings and evidence of reversibility. Accordingly, the narrative conclusion </w:t>
      </w:r>
      <w:r w:rsidR="009932CB">
        <w:rPr>
          <w:rFonts w:ascii="Arial" w:hAnsi="Arial" w:cs="Arial"/>
        </w:rPr>
        <w:t>conflates</w:t>
      </w:r>
      <w:r w:rsidRPr="0059331C">
        <w:rPr>
          <w:rFonts w:ascii="Arial" w:hAnsi="Arial" w:cs="Arial"/>
        </w:rPr>
        <w:t xml:space="preserve"> sperm parameter changes </w:t>
      </w:r>
      <w:r w:rsidR="00973F19">
        <w:rPr>
          <w:rFonts w:ascii="Arial" w:hAnsi="Arial" w:cs="Arial"/>
        </w:rPr>
        <w:t>with</w:t>
      </w:r>
      <w:r w:rsidRPr="0059331C">
        <w:rPr>
          <w:rFonts w:ascii="Arial" w:hAnsi="Arial" w:cs="Arial"/>
        </w:rPr>
        <w:t xml:space="preserve"> male fertility impairment </w:t>
      </w:r>
      <w:r w:rsidR="00973F19">
        <w:rPr>
          <w:rFonts w:ascii="Arial" w:hAnsi="Arial" w:cs="Arial"/>
        </w:rPr>
        <w:t xml:space="preserve">and </w:t>
      </w:r>
      <w:r w:rsidRPr="0059331C">
        <w:rPr>
          <w:rFonts w:ascii="Arial" w:hAnsi="Arial" w:cs="Arial"/>
        </w:rPr>
        <w:t xml:space="preserve">overstates certainty without clearly separating intermediate endpoints from </w:t>
      </w:r>
      <w:r w:rsidR="00973F19">
        <w:rPr>
          <w:rFonts w:ascii="Arial" w:hAnsi="Arial" w:cs="Arial"/>
        </w:rPr>
        <w:t>functional</w:t>
      </w:r>
      <w:r w:rsidRPr="0059331C">
        <w:rPr>
          <w:rFonts w:ascii="Arial" w:hAnsi="Arial" w:cs="Arial"/>
        </w:rPr>
        <w:t xml:space="preserve"> </w:t>
      </w:r>
      <w:r w:rsidR="00973F19">
        <w:rPr>
          <w:rFonts w:ascii="Arial" w:hAnsi="Arial" w:cs="Arial"/>
        </w:rPr>
        <w:t>reproductive</w:t>
      </w:r>
      <w:r w:rsidRPr="0059331C">
        <w:rPr>
          <w:rFonts w:ascii="Arial" w:hAnsi="Arial" w:cs="Arial"/>
        </w:rPr>
        <w:t xml:space="preserve"> outcomes.</w:t>
      </w:r>
    </w:p>
    <w:p w14:paraId="3609C27A" w14:textId="6F8574D9" w:rsidR="0059331C" w:rsidRPr="0059331C" w:rsidRDefault="0059331C" w:rsidP="0059331C">
      <w:pPr>
        <w:spacing w:after="160" w:line="259" w:lineRule="auto"/>
        <w:rPr>
          <w:rFonts w:ascii="Arial" w:hAnsi="Arial" w:cs="Arial"/>
        </w:rPr>
      </w:pPr>
      <w:r w:rsidRPr="001F1CA0">
        <w:rPr>
          <w:rFonts w:ascii="Arial" w:hAnsi="Arial" w:cs="Arial"/>
          <w:u w:val="single"/>
        </w:rPr>
        <w:t>Table 17</w:t>
      </w:r>
      <w:r w:rsidRPr="0059331C">
        <w:rPr>
          <w:rFonts w:ascii="Arial" w:hAnsi="Arial" w:cs="Arial"/>
        </w:rPr>
        <w:t xml:space="preserve"> summarizes 15 rodent studies evaluating female sexual function and fertility, reporting changes in ovarian/uterine weight, histological alterations, and hormone concentrations, with fewer studies addressing pregnancy- or embryo-related outcomes. However, </w:t>
      </w:r>
      <w:r w:rsidR="00267E42" w:rsidRPr="0059331C">
        <w:rPr>
          <w:rFonts w:ascii="Arial" w:hAnsi="Arial" w:cs="Arial"/>
        </w:rPr>
        <w:t>most</w:t>
      </w:r>
      <w:r w:rsidRPr="0059331C">
        <w:rPr>
          <w:rFonts w:ascii="Arial" w:hAnsi="Arial" w:cs="Arial"/>
        </w:rPr>
        <w:t xml:space="preserve"> endpoints are structural, histological, or endocrine proxies rather than comprehensive fertility outcomes (e.g., mating success, implantation efficiency, litter size</w:t>
      </w:r>
      <w:r w:rsidR="00577388">
        <w:rPr>
          <w:rFonts w:ascii="Arial" w:hAnsi="Arial" w:cs="Arial"/>
        </w:rPr>
        <w:t xml:space="preserve"> or</w:t>
      </w:r>
      <w:r w:rsidRPr="0059331C">
        <w:rPr>
          <w:rFonts w:ascii="Arial" w:hAnsi="Arial" w:cs="Arial"/>
        </w:rPr>
        <w:t xml:space="preserve"> offspring survival). </w:t>
      </w:r>
      <w:r w:rsidR="0058068D">
        <w:rPr>
          <w:rFonts w:ascii="Arial" w:hAnsi="Arial" w:cs="Arial"/>
        </w:rPr>
        <w:t>Additionally</w:t>
      </w:r>
      <w:r w:rsidRPr="0059331C">
        <w:rPr>
          <w:rFonts w:ascii="Arial" w:hAnsi="Arial" w:cs="Arial"/>
        </w:rPr>
        <w:t>, several studies report reproductive findings in parallel with reduced food intake and/or body-weight loss</w:t>
      </w:r>
      <w:r w:rsidR="00824D8D">
        <w:rPr>
          <w:rFonts w:ascii="Arial" w:hAnsi="Arial" w:cs="Arial"/>
        </w:rPr>
        <w:t>,</w:t>
      </w:r>
      <w:r w:rsidR="003D6010">
        <w:rPr>
          <w:rFonts w:ascii="Arial" w:hAnsi="Arial" w:cs="Arial"/>
        </w:rPr>
        <w:t xml:space="preserve"> which </w:t>
      </w:r>
      <w:r w:rsidRPr="0059331C">
        <w:rPr>
          <w:rFonts w:ascii="Arial" w:hAnsi="Arial" w:cs="Arial"/>
        </w:rPr>
        <w:t xml:space="preserve">can independently disrupt ovarian function, estrous cyclicity, and reproductive organ weights. Key uncertainties therefore include predominance of surrogate </w:t>
      </w:r>
      <w:r w:rsidR="00232330">
        <w:rPr>
          <w:rFonts w:ascii="Arial" w:hAnsi="Arial" w:cs="Arial"/>
        </w:rPr>
        <w:t xml:space="preserve">reproductive </w:t>
      </w:r>
      <w:r w:rsidRPr="0059331C">
        <w:rPr>
          <w:rFonts w:ascii="Arial" w:hAnsi="Arial" w:cs="Arial"/>
        </w:rPr>
        <w:t xml:space="preserve">endpoints, limited assessment (or inadequate control) of systemic toxicity, small group sizes, </w:t>
      </w:r>
      <w:r w:rsidR="0052402F">
        <w:rPr>
          <w:rFonts w:ascii="Arial" w:hAnsi="Arial" w:cs="Arial"/>
        </w:rPr>
        <w:t>single dose designs</w:t>
      </w:r>
      <w:r w:rsidR="008653A0">
        <w:rPr>
          <w:rFonts w:ascii="Arial" w:hAnsi="Arial" w:cs="Arial"/>
        </w:rPr>
        <w:t xml:space="preserve">, </w:t>
      </w:r>
      <w:r w:rsidRPr="0059331C">
        <w:rPr>
          <w:rFonts w:ascii="Arial" w:hAnsi="Arial" w:cs="Arial"/>
        </w:rPr>
        <w:t>and potential confounding due to nutritional status and weight change.</w:t>
      </w:r>
      <w:r w:rsidR="008653A0" w:rsidRPr="008653A0">
        <w:rPr>
          <w:rFonts w:ascii="Aptos" w:hAnsi="Aptos" w:cs="Aptos"/>
          <w:color w:val="000000"/>
        </w:rPr>
        <w:t xml:space="preserve"> </w:t>
      </w:r>
      <w:r w:rsidR="008653A0" w:rsidRPr="008653A0">
        <w:rPr>
          <w:rFonts w:ascii="Arial" w:hAnsi="Arial" w:cs="Arial"/>
        </w:rPr>
        <w:lastRenderedPageBreak/>
        <w:t>Consequently, while the dataset indicates potential adverse effects on female reproductive tissues at high exposures, the evidence for direct impairment of female fertility remains heterogeneous and subject to uncertainty.</w:t>
      </w:r>
    </w:p>
    <w:p w14:paraId="747700E2" w14:textId="56889C3F" w:rsidR="0059331C" w:rsidRDefault="0059331C" w:rsidP="006C59CE">
      <w:pPr>
        <w:spacing w:line="259" w:lineRule="auto"/>
        <w:rPr>
          <w:rFonts w:ascii="Arial" w:hAnsi="Arial" w:cs="Arial"/>
        </w:rPr>
      </w:pPr>
      <w:r w:rsidRPr="000D3A92">
        <w:rPr>
          <w:rFonts w:ascii="Arial" w:hAnsi="Arial" w:cs="Arial"/>
          <w:u w:val="single"/>
        </w:rPr>
        <w:t>Table 18</w:t>
      </w:r>
      <w:r w:rsidRPr="0059331C">
        <w:rPr>
          <w:rFonts w:ascii="Arial" w:hAnsi="Arial" w:cs="Arial"/>
        </w:rPr>
        <w:t xml:space="preserve"> reports </w:t>
      </w:r>
      <w:r w:rsidR="007C64F2" w:rsidRPr="007C64F2">
        <w:rPr>
          <w:rFonts w:ascii="Arial" w:hAnsi="Arial" w:cs="Arial"/>
        </w:rPr>
        <w:t xml:space="preserve">decreases in ovary and uterus weight in several animal studies following sodium fluoride exposure at doses generally ≥10 mg/kg </w:t>
      </w:r>
      <w:proofErr w:type="spellStart"/>
      <w:r w:rsidR="007C64F2" w:rsidRPr="007C64F2">
        <w:rPr>
          <w:rFonts w:ascii="Arial" w:hAnsi="Arial" w:cs="Arial"/>
        </w:rPr>
        <w:t>bw</w:t>
      </w:r>
      <w:proofErr w:type="spellEnd"/>
      <w:r w:rsidR="007C64F2" w:rsidRPr="007C64F2">
        <w:rPr>
          <w:rFonts w:ascii="Arial" w:hAnsi="Arial" w:cs="Arial"/>
        </w:rPr>
        <w:t xml:space="preserve">/day, which are approximately 15–30 times higher than the EFSA tolerable upper intake level for fluoride in adults (0.12 mg/kg </w:t>
      </w:r>
      <w:proofErr w:type="spellStart"/>
      <w:r w:rsidR="007C64F2" w:rsidRPr="007C64F2">
        <w:rPr>
          <w:rFonts w:ascii="Arial" w:hAnsi="Arial" w:cs="Arial"/>
        </w:rPr>
        <w:t>bw</w:t>
      </w:r>
      <w:proofErr w:type="spellEnd"/>
      <w:r w:rsidR="007C64F2" w:rsidRPr="007C64F2">
        <w:rPr>
          <w:rFonts w:ascii="Arial" w:hAnsi="Arial" w:cs="Arial"/>
        </w:rPr>
        <w:t>/day, equivalent to 7 mg/day), and substantially higher than typical population intakes. As these effects frequently occur alongside reductions</w:t>
      </w:r>
      <w:r w:rsidR="001E0E35">
        <w:rPr>
          <w:rFonts w:ascii="Arial" w:hAnsi="Arial" w:cs="Arial"/>
        </w:rPr>
        <w:t xml:space="preserve"> or gain</w:t>
      </w:r>
      <w:r w:rsidR="007C64F2" w:rsidRPr="007C64F2">
        <w:rPr>
          <w:rFonts w:ascii="Arial" w:hAnsi="Arial" w:cs="Arial"/>
        </w:rPr>
        <w:t xml:space="preserve"> in body </w:t>
      </w:r>
      <w:r w:rsidR="00A529E8" w:rsidRPr="007C64F2">
        <w:rPr>
          <w:rFonts w:ascii="Arial" w:hAnsi="Arial" w:cs="Arial"/>
        </w:rPr>
        <w:t>weight</w:t>
      </w:r>
      <w:r w:rsidR="00A529E8">
        <w:rPr>
          <w:rFonts w:ascii="Arial" w:hAnsi="Arial" w:cs="Arial"/>
        </w:rPr>
        <w:t xml:space="preserve"> and</w:t>
      </w:r>
      <w:r w:rsidR="007C64F2" w:rsidRPr="007C64F2">
        <w:rPr>
          <w:rFonts w:ascii="Arial" w:hAnsi="Arial" w:cs="Arial"/>
        </w:rPr>
        <w:t xml:space="preserve"> given the sensitivity of reproductive organ weights to estrous cycle stage and systemic nutritional status (which was not controlled for), the relevance of these findings to human exposure scenarios and to direct female reproductive toxicity remains uncertain.</w:t>
      </w:r>
    </w:p>
    <w:p w14:paraId="54FC2C7D" w14:textId="77777777" w:rsidR="00877EA0" w:rsidRPr="0059331C" w:rsidRDefault="00877EA0" w:rsidP="00877EA0">
      <w:pPr>
        <w:spacing w:line="259" w:lineRule="auto"/>
        <w:rPr>
          <w:rFonts w:ascii="Arial" w:hAnsi="Arial" w:cs="Arial"/>
        </w:rPr>
      </w:pPr>
    </w:p>
    <w:p w14:paraId="1469CEA6" w14:textId="394155FB" w:rsidR="0059331C" w:rsidRPr="001E0E35" w:rsidRDefault="0059331C" w:rsidP="0059331C">
      <w:pPr>
        <w:spacing w:after="160" w:line="259" w:lineRule="auto"/>
        <w:rPr>
          <w:rFonts w:ascii="Arial" w:hAnsi="Arial" w:cs="Arial"/>
          <w:b/>
          <w:bCs/>
        </w:rPr>
      </w:pPr>
      <w:r w:rsidRPr="001E0E35">
        <w:rPr>
          <w:rFonts w:ascii="Arial" w:hAnsi="Arial" w:cs="Arial"/>
          <w:b/>
          <w:bCs/>
        </w:rPr>
        <w:t>Overall interpretation and implications for classification</w:t>
      </w:r>
    </w:p>
    <w:p w14:paraId="6C97914E" w14:textId="0D9BCF75" w:rsidR="00F86EA6" w:rsidRPr="00A529E8" w:rsidRDefault="0059331C" w:rsidP="0059331C">
      <w:pPr>
        <w:spacing w:after="160" w:line="259" w:lineRule="auto"/>
        <w:rPr>
          <w:rFonts w:ascii="Arial" w:hAnsi="Arial" w:cs="Arial"/>
          <w:b/>
          <w:bCs/>
        </w:rPr>
      </w:pPr>
      <w:r w:rsidRPr="0059331C">
        <w:rPr>
          <w:rFonts w:ascii="Arial" w:hAnsi="Arial" w:cs="Arial"/>
        </w:rPr>
        <w:t>Taken together,</w:t>
      </w:r>
      <w:r w:rsidR="00612E12">
        <w:rPr>
          <w:rFonts w:ascii="Arial" w:hAnsi="Arial" w:cs="Arial"/>
        </w:rPr>
        <w:t xml:space="preserve"> </w:t>
      </w:r>
      <w:r w:rsidRPr="00A24868">
        <w:rPr>
          <w:rFonts w:ascii="Arial" w:hAnsi="Arial" w:cs="Arial"/>
          <w:b/>
          <w:bCs/>
        </w:rPr>
        <w:t xml:space="preserve">IADR recommends that the evidence in Section 10.10 </w:t>
      </w:r>
      <w:r w:rsidR="007125DD">
        <w:rPr>
          <w:rFonts w:ascii="Arial" w:hAnsi="Arial" w:cs="Arial"/>
          <w:b/>
          <w:bCs/>
        </w:rPr>
        <w:t xml:space="preserve">on </w:t>
      </w:r>
      <w:r w:rsidR="00BF58E6">
        <w:rPr>
          <w:rFonts w:ascii="Arial" w:hAnsi="Arial" w:cs="Arial"/>
          <w:b/>
          <w:bCs/>
        </w:rPr>
        <w:t xml:space="preserve">reproductive toxicity </w:t>
      </w:r>
      <w:r w:rsidRPr="00A24868">
        <w:rPr>
          <w:rFonts w:ascii="Arial" w:hAnsi="Arial" w:cs="Arial"/>
          <w:b/>
          <w:bCs/>
        </w:rPr>
        <w:t xml:space="preserve">be interpreted </w:t>
      </w:r>
      <w:r w:rsidR="00A24868" w:rsidRPr="00A24868">
        <w:rPr>
          <w:rFonts w:ascii="Arial" w:hAnsi="Arial" w:cs="Arial"/>
          <w:b/>
          <w:bCs/>
        </w:rPr>
        <w:t xml:space="preserve">with </w:t>
      </w:r>
      <w:r w:rsidR="00612E12">
        <w:rPr>
          <w:rFonts w:ascii="Arial" w:hAnsi="Arial" w:cs="Arial"/>
          <w:b/>
          <w:bCs/>
        </w:rPr>
        <w:t xml:space="preserve">extreme </w:t>
      </w:r>
      <w:r w:rsidR="00A24868" w:rsidRPr="00A24868">
        <w:rPr>
          <w:rFonts w:ascii="Arial" w:hAnsi="Arial" w:cs="Arial"/>
          <w:b/>
          <w:bCs/>
        </w:rPr>
        <w:t>caution</w:t>
      </w:r>
      <w:r w:rsidR="00BF58E6">
        <w:rPr>
          <w:rFonts w:ascii="Arial" w:hAnsi="Arial" w:cs="Arial"/>
          <w:b/>
          <w:bCs/>
        </w:rPr>
        <w:t xml:space="preserve"> and that </w:t>
      </w:r>
      <w:r w:rsidR="006C3CA2">
        <w:rPr>
          <w:rFonts w:ascii="Arial" w:hAnsi="Arial" w:cs="Arial"/>
          <w:b/>
          <w:bCs/>
        </w:rPr>
        <w:t>the evidence does not support a</w:t>
      </w:r>
      <w:r w:rsidR="00902F38">
        <w:rPr>
          <w:rFonts w:ascii="Arial" w:hAnsi="Arial" w:cs="Arial"/>
          <w:b/>
          <w:bCs/>
        </w:rPr>
        <w:t xml:space="preserve"> new </w:t>
      </w:r>
      <w:r w:rsidR="006C3CA2">
        <w:rPr>
          <w:rFonts w:ascii="Arial" w:hAnsi="Arial" w:cs="Arial"/>
          <w:b/>
          <w:bCs/>
        </w:rPr>
        <w:t>classification</w:t>
      </w:r>
      <w:r w:rsidRPr="0059331C">
        <w:rPr>
          <w:rFonts w:ascii="Arial" w:hAnsi="Arial" w:cs="Arial"/>
        </w:rPr>
        <w:t xml:space="preserve">. </w:t>
      </w:r>
      <w:r w:rsidR="00F86EA6" w:rsidRPr="00F86EA6">
        <w:rPr>
          <w:rFonts w:ascii="Arial" w:hAnsi="Arial" w:cs="Arial"/>
        </w:rPr>
        <w:t xml:space="preserve">While </w:t>
      </w:r>
      <w:proofErr w:type="gramStart"/>
      <w:r w:rsidR="00F86EA6" w:rsidRPr="00F86EA6">
        <w:rPr>
          <w:rFonts w:ascii="Arial" w:hAnsi="Arial" w:cs="Arial"/>
        </w:rPr>
        <w:t>a number of</w:t>
      </w:r>
      <w:proofErr w:type="gramEnd"/>
      <w:r w:rsidR="00F86EA6" w:rsidRPr="00F86EA6">
        <w:rPr>
          <w:rFonts w:ascii="Arial" w:hAnsi="Arial" w:cs="Arial"/>
        </w:rPr>
        <w:t xml:space="preserve"> animal studies report histological alterations of the ovary and uterus, changes in reproductive hormone levels and effects on estrous cyclicity or selected fertility parameters following sodium fluoride exposure, these findings are predominantly observed at relatively high dose levels and frequently occur in parallel with reduced food intake and/or body-weight loss. In addition, estrous cycle stage was not controlled for in studies assessing hormone concentrations or uterus endpoints, limiting interpretation of these effects. Only a limited number of studies assessed integrated fertility outcomes, and where available</w:t>
      </w:r>
      <w:r w:rsidR="00617C75">
        <w:rPr>
          <w:rFonts w:ascii="Arial" w:hAnsi="Arial" w:cs="Arial"/>
        </w:rPr>
        <w:t>,</w:t>
      </w:r>
      <w:r w:rsidR="00F86EA6" w:rsidRPr="00F86EA6">
        <w:rPr>
          <w:rFonts w:ascii="Arial" w:hAnsi="Arial" w:cs="Arial"/>
        </w:rPr>
        <w:t xml:space="preserve"> </w:t>
      </w:r>
      <w:r w:rsidR="00432275">
        <w:rPr>
          <w:rFonts w:ascii="Arial" w:hAnsi="Arial" w:cs="Arial"/>
        </w:rPr>
        <w:t>showed heterogeneous</w:t>
      </w:r>
      <w:r w:rsidR="00F86EA6" w:rsidRPr="00F86EA6">
        <w:rPr>
          <w:rFonts w:ascii="Arial" w:hAnsi="Arial" w:cs="Arial"/>
        </w:rPr>
        <w:t xml:space="preserve"> results</w:t>
      </w:r>
      <w:r w:rsidR="00432275">
        <w:rPr>
          <w:rFonts w:ascii="Arial" w:hAnsi="Arial" w:cs="Arial"/>
        </w:rPr>
        <w:t xml:space="preserve"> </w:t>
      </w:r>
      <w:r w:rsidR="00F86EA6" w:rsidRPr="00F86EA6">
        <w:rPr>
          <w:rFonts w:ascii="Arial" w:hAnsi="Arial" w:cs="Arial"/>
        </w:rPr>
        <w:t xml:space="preserve">including multigeneration studies showing minimal or no effects on key fertility indices. Furthermore, the exposure levels used in many experimental studies substantially exceed typical human intakes, including the tolerable upper intake level for fluoride, and the available human data are mixed and subject to confounding. </w:t>
      </w:r>
      <w:r w:rsidR="00F86EA6" w:rsidRPr="00A529E8">
        <w:rPr>
          <w:rFonts w:ascii="Arial" w:hAnsi="Arial" w:cs="Arial"/>
          <w:b/>
          <w:bCs/>
        </w:rPr>
        <w:t xml:space="preserve">Overall, these </w:t>
      </w:r>
      <w:r w:rsidR="00595D9A">
        <w:rPr>
          <w:rFonts w:ascii="Arial" w:hAnsi="Arial" w:cs="Arial"/>
          <w:b/>
          <w:bCs/>
        </w:rPr>
        <w:t xml:space="preserve">important </w:t>
      </w:r>
      <w:r w:rsidR="00F86EA6" w:rsidRPr="00A529E8">
        <w:rPr>
          <w:rFonts w:ascii="Arial" w:hAnsi="Arial" w:cs="Arial"/>
          <w:b/>
          <w:bCs/>
        </w:rPr>
        <w:t>considerations introduce uncertainty regarding the specificity and human relevance of the reported effects in this section.</w:t>
      </w:r>
    </w:p>
    <w:p w14:paraId="7810A8F7" w14:textId="2A66F117" w:rsidR="00CB2C14" w:rsidRDefault="0059331C" w:rsidP="0059331C">
      <w:pPr>
        <w:spacing w:after="160" w:line="259" w:lineRule="auto"/>
        <w:rPr>
          <w:rFonts w:ascii="Arial" w:hAnsi="Arial" w:cs="Arial"/>
        </w:rPr>
      </w:pPr>
      <w:r w:rsidRPr="0059331C">
        <w:rPr>
          <w:rFonts w:ascii="Arial" w:hAnsi="Arial" w:cs="Arial"/>
        </w:rPr>
        <w:t xml:space="preserve">Given the </w:t>
      </w:r>
      <w:r w:rsidR="00F86EA6">
        <w:rPr>
          <w:rFonts w:ascii="Arial" w:hAnsi="Arial" w:cs="Arial"/>
        </w:rPr>
        <w:t>report</w:t>
      </w:r>
      <w:r w:rsidRPr="0059331C">
        <w:rPr>
          <w:rFonts w:ascii="Arial" w:hAnsi="Arial" w:cs="Arial"/>
        </w:rPr>
        <w:t xml:space="preserve">’s proposed classification as Repr. 1B, IADR encourages the </w:t>
      </w:r>
      <w:r w:rsidR="00D81BF4">
        <w:rPr>
          <w:rFonts w:ascii="Arial" w:hAnsi="Arial" w:cs="Arial"/>
        </w:rPr>
        <w:t>RAC</w:t>
      </w:r>
      <w:r w:rsidRPr="0059331C">
        <w:rPr>
          <w:rFonts w:ascii="Arial" w:hAnsi="Arial" w:cs="Arial"/>
        </w:rPr>
        <w:t xml:space="preserve"> to more explicitly: (i) separate surrogate mechanistic/intermediate endpoints from functional fertility outcomes; (ii) address susceptibility to bias (including observer-dependent measures without blinding/reproducibility documentation); (iii) evaluate the role of systemic toxicity and nutritional confounding; and (iv) clarify how the available studies satisfy CLP Annex I expectations for demonstrating impaired reproductive performance.</w:t>
      </w:r>
    </w:p>
    <w:p w14:paraId="702DBCD0" w14:textId="77777777" w:rsidR="00C55224" w:rsidRDefault="00C55224" w:rsidP="0059331C">
      <w:pPr>
        <w:spacing w:after="160" w:line="259" w:lineRule="auto"/>
        <w:rPr>
          <w:rFonts w:ascii="Arial" w:hAnsi="Arial" w:cs="Arial"/>
        </w:rPr>
      </w:pPr>
    </w:p>
    <w:p w14:paraId="343296B8" w14:textId="08D94642" w:rsidR="00761E17" w:rsidRPr="00463417" w:rsidRDefault="00761E17" w:rsidP="00761E17">
      <w:pPr>
        <w:spacing w:after="160" w:line="259" w:lineRule="auto"/>
        <w:rPr>
          <w:rFonts w:ascii="Arial" w:hAnsi="Arial" w:cs="Arial"/>
          <w:b/>
          <w:bCs/>
          <w:color w:val="2F5496" w:themeColor="accent1" w:themeShade="BF"/>
        </w:rPr>
      </w:pPr>
      <w:r w:rsidRPr="00463417">
        <w:rPr>
          <w:rFonts w:ascii="Arial" w:hAnsi="Arial" w:cs="Arial"/>
          <w:b/>
          <w:bCs/>
          <w:color w:val="2F5496" w:themeColor="accent1" w:themeShade="BF"/>
        </w:rPr>
        <w:t>Thyroid effects and endocrine disruption: Category 1 evidence threshold not met on current record</w:t>
      </w:r>
      <w:r w:rsidR="002B3104">
        <w:rPr>
          <w:rFonts w:ascii="Arial" w:hAnsi="Arial" w:cs="Arial"/>
          <w:b/>
          <w:bCs/>
          <w:color w:val="2F5496" w:themeColor="accent1" w:themeShade="BF"/>
        </w:rPr>
        <w:t xml:space="preserve"> </w:t>
      </w:r>
      <w:r w:rsidR="002B3104" w:rsidRPr="002B3104">
        <w:rPr>
          <w:rFonts w:ascii="Arial" w:hAnsi="Arial" w:cs="Arial"/>
          <w:b/>
          <w:bCs/>
          <w:color w:val="2F5496" w:themeColor="accent1" w:themeShade="BF"/>
        </w:rPr>
        <w:t>(CLH Report Section 11, pages 106-182)</w:t>
      </w:r>
    </w:p>
    <w:p w14:paraId="7E5E3268" w14:textId="02B795CF" w:rsidR="00DA4CBC" w:rsidRPr="003C1E79" w:rsidRDefault="00761E17" w:rsidP="00761E17">
      <w:pPr>
        <w:spacing w:after="160" w:line="259" w:lineRule="auto"/>
        <w:rPr>
          <w:rFonts w:ascii="Arial" w:hAnsi="Arial" w:cs="Arial"/>
        </w:rPr>
      </w:pPr>
      <w:r w:rsidRPr="00761E17">
        <w:rPr>
          <w:rFonts w:ascii="Arial" w:hAnsi="Arial" w:cs="Arial"/>
        </w:rPr>
        <w:t xml:space="preserve">The CLH report’s endocrine rationale relies materially on thyroid endpoints and an asserted linkage to neurodevelopmental outcomes. </w:t>
      </w:r>
      <w:r w:rsidR="00A642A5">
        <w:rPr>
          <w:rFonts w:ascii="Arial" w:hAnsi="Arial" w:cs="Arial"/>
        </w:rPr>
        <w:t xml:space="preserve">It is important to note that </w:t>
      </w:r>
      <w:r w:rsidR="0083598A">
        <w:rPr>
          <w:rFonts w:ascii="Arial" w:hAnsi="Arial" w:cs="Arial"/>
        </w:rPr>
        <w:t>scientific</w:t>
      </w:r>
      <w:r w:rsidR="00A642A5" w:rsidRPr="00A642A5">
        <w:rPr>
          <w:rFonts w:ascii="Arial" w:hAnsi="Arial" w:cs="Arial"/>
        </w:rPr>
        <w:t xml:space="preserve"> literature confirms that </w:t>
      </w:r>
      <w:r w:rsidR="00A642A5">
        <w:rPr>
          <w:rFonts w:ascii="Arial" w:hAnsi="Arial" w:cs="Arial"/>
          <w:b/>
          <w:bCs/>
        </w:rPr>
        <w:t>t</w:t>
      </w:r>
      <w:r w:rsidR="00A642A5" w:rsidRPr="00A642A5">
        <w:rPr>
          <w:rFonts w:ascii="Arial" w:hAnsi="Arial" w:cs="Arial"/>
          <w:b/>
          <w:bCs/>
        </w:rPr>
        <w:t>hyroid-stimulating hormone</w:t>
      </w:r>
      <w:r w:rsidR="00A642A5">
        <w:rPr>
          <w:rFonts w:ascii="Arial" w:hAnsi="Arial" w:cs="Arial"/>
          <w:b/>
          <w:bCs/>
        </w:rPr>
        <w:t xml:space="preserve"> (TSH</w:t>
      </w:r>
      <w:r w:rsidR="00A642A5" w:rsidRPr="00A642A5">
        <w:rPr>
          <w:rFonts w:ascii="Arial" w:hAnsi="Arial" w:cs="Arial"/>
          <w:b/>
          <w:bCs/>
        </w:rPr>
        <w:t>) measurements are insufficient and an inappropriate endpoint for fully assessing developmental neurotoxicity</w:t>
      </w:r>
      <w:r w:rsidR="006738AA">
        <w:rPr>
          <w:rFonts w:ascii="Arial" w:hAnsi="Arial" w:cs="Arial"/>
          <w:b/>
          <w:bCs/>
        </w:rPr>
        <w:t xml:space="preserve"> </w:t>
      </w:r>
      <w:r w:rsidR="006738AA" w:rsidRPr="006738AA">
        <w:rPr>
          <w:rFonts w:ascii="Arial" w:hAnsi="Arial" w:cs="Arial"/>
        </w:rPr>
        <w:t>(US Environmental Protection Agency, 1998</w:t>
      </w:r>
      <w:r w:rsidR="007F44DC">
        <w:rPr>
          <w:rFonts w:ascii="Arial" w:hAnsi="Arial" w:cs="Arial"/>
        </w:rPr>
        <w:t>;</w:t>
      </w:r>
      <w:r w:rsidR="00B62A8C">
        <w:rPr>
          <w:rFonts w:ascii="Arial" w:hAnsi="Arial" w:cs="Arial"/>
        </w:rPr>
        <w:t xml:space="preserve"> </w:t>
      </w:r>
      <w:proofErr w:type="spellStart"/>
      <w:r w:rsidR="00B62A8C">
        <w:rPr>
          <w:rFonts w:ascii="Arial" w:hAnsi="Arial" w:cs="Arial"/>
        </w:rPr>
        <w:t>Organisation</w:t>
      </w:r>
      <w:proofErr w:type="spellEnd"/>
      <w:r w:rsidR="00B62A8C">
        <w:rPr>
          <w:rFonts w:ascii="Arial" w:hAnsi="Arial" w:cs="Arial"/>
        </w:rPr>
        <w:t xml:space="preserve"> </w:t>
      </w:r>
      <w:r w:rsidR="00403D82">
        <w:rPr>
          <w:rFonts w:ascii="Arial" w:hAnsi="Arial" w:cs="Arial"/>
        </w:rPr>
        <w:t>for Economic Cooperation and Development, 2025</w:t>
      </w:r>
      <w:r w:rsidR="006738AA" w:rsidRPr="006738AA">
        <w:rPr>
          <w:rFonts w:ascii="Arial" w:hAnsi="Arial" w:cs="Arial"/>
        </w:rPr>
        <w:t>)</w:t>
      </w:r>
      <w:r w:rsidR="001E4787">
        <w:rPr>
          <w:rFonts w:ascii="Arial" w:hAnsi="Arial" w:cs="Arial"/>
          <w:b/>
          <w:bCs/>
        </w:rPr>
        <w:t>.</w:t>
      </w:r>
      <w:r w:rsidR="00A642A5" w:rsidRPr="00A642A5">
        <w:rPr>
          <w:rFonts w:ascii="Arial" w:hAnsi="Arial" w:cs="Arial"/>
        </w:rPr>
        <w:t xml:space="preserve"> </w:t>
      </w:r>
      <w:r w:rsidRPr="00761E17">
        <w:rPr>
          <w:rFonts w:ascii="Arial" w:hAnsi="Arial" w:cs="Arial"/>
        </w:rPr>
        <w:t>The report itself acknowledges variability and limitations in the thyroid evidence base</w:t>
      </w:r>
      <w:r w:rsidR="00807C4E">
        <w:rPr>
          <w:rFonts w:ascii="Arial" w:hAnsi="Arial" w:cs="Arial"/>
        </w:rPr>
        <w:t xml:space="preserve">, </w:t>
      </w:r>
      <w:r w:rsidRPr="00761E17">
        <w:rPr>
          <w:rFonts w:ascii="Arial" w:hAnsi="Arial" w:cs="Arial"/>
        </w:rPr>
        <w:t xml:space="preserve">for example, it notes that some </w:t>
      </w:r>
      <w:proofErr w:type="spellStart"/>
      <w:r w:rsidRPr="00761E17">
        <w:rPr>
          <w:rFonts w:ascii="Arial" w:hAnsi="Arial" w:cs="Arial"/>
        </w:rPr>
        <w:t>goitre</w:t>
      </w:r>
      <w:proofErr w:type="spellEnd"/>
      <w:r w:rsidRPr="00761E17">
        <w:rPr>
          <w:rFonts w:ascii="Arial" w:hAnsi="Arial" w:cs="Arial"/>
        </w:rPr>
        <w:t xml:space="preserve"> studies were not considered relevant due to quality limitations</w:t>
      </w:r>
      <w:r w:rsidR="009B58B9">
        <w:rPr>
          <w:rFonts w:ascii="Arial" w:hAnsi="Arial" w:cs="Arial"/>
        </w:rPr>
        <w:t>,</w:t>
      </w:r>
      <w:r w:rsidRPr="00761E17">
        <w:rPr>
          <w:rFonts w:ascii="Arial" w:hAnsi="Arial" w:cs="Arial"/>
        </w:rPr>
        <w:t xml:space="preserve"> and that available data did not confirm a clear association with T3/T4, with thyroid disease risk evidence considered too limited for dose-response analysis</w:t>
      </w:r>
      <w:r w:rsidR="003439D8">
        <w:rPr>
          <w:rFonts w:ascii="Arial" w:hAnsi="Arial" w:cs="Arial"/>
        </w:rPr>
        <w:t xml:space="preserve"> (Section 11.1</w:t>
      </w:r>
      <w:r w:rsidR="00A31270">
        <w:rPr>
          <w:rFonts w:ascii="Arial" w:hAnsi="Arial" w:cs="Arial"/>
        </w:rPr>
        <w:t>.</w:t>
      </w:r>
      <w:proofErr w:type="gramStart"/>
      <w:r w:rsidR="00A31270">
        <w:rPr>
          <w:rFonts w:ascii="Arial" w:hAnsi="Arial" w:cs="Arial"/>
        </w:rPr>
        <w:t>2.1.1</w:t>
      </w:r>
      <w:proofErr w:type="gramEnd"/>
      <w:r w:rsidR="00A31270">
        <w:rPr>
          <w:rFonts w:ascii="Arial" w:hAnsi="Arial" w:cs="Arial"/>
        </w:rPr>
        <w:t>)</w:t>
      </w:r>
      <w:r w:rsidRPr="00761E17">
        <w:rPr>
          <w:rFonts w:ascii="Arial" w:hAnsi="Arial" w:cs="Arial"/>
        </w:rPr>
        <w:t xml:space="preserve">. </w:t>
      </w:r>
      <w:r w:rsidR="00807C4E" w:rsidRPr="00BC4565">
        <w:rPr>
          <w:rFonts w:ascii="Arial" w:hAnsi="Arial" w:cs="Arial"/>
          <w:i/>
          <w:iCs/>
          <w:u w:val="single"/>
        </w:rPr>
        <w:t xml:space="preserve">IADR </w:t>
      </w:r>
      <w:r w:rsidR="007F32DB">
        <w:rPr>
          <w:rFonts w:ascii="Arial" w:hAnsi="Arial" w:cs="Arial"/>
          <w:i/>
          <w:iCs/>
          <w:u w:val="single"/>
        </w:rPr>
        <w:t xml:space="preserve">would therefore like to </w:t>
      </w:r>
      <w:r w:rsidR="003008EE" w:rsidRPr="00BC4565">
        <w:rPr>
          <w:rFonts w:ascii="Arial" w:hAnsi="Arial" w:cs="Arial"/>
          <w:i/>
          <w:iCs/>
          <w:u w:val="single"/>
        </w:rPr>
        <w:t>emphasi</w:t>
      </w:r>
      <w:r w:rsidR="003008EE">
        <w:rPr>
          <w:rFonts w:ascii="Arial" w:hAnsi="Arial" w:cs="Arial"/>
          <w:i/>
          <w:iCs/>
          <w:u w:val="single"/>
        </w:rPr>
        <w:t>z</w:t>
      </w:r>
      <w:r w:rsidR="003008EE" w:rsidRPr="00BC4565">
        <w:rPr>
          <w:rFonts w:ascii="Arial" w:hAnsi="Arial" w:cs="Arial"/>
          <w:i/>
          <w:iCs/>
          <w:u w:val="single"/>
        </w:rPr>
        <w:t>e</w:t>
      </w:r>
      <w:r w:rsidR="007F32DB">
        <w:rPr>
          <w:rFonts w:ascii="Arial" w:hAnsi="Arial" w:cs="Arial"/>
          <w:i/>
          <w:iCs/>
          <w:u w:val="single"/>
        </w:rPr>
        <w:t xml:space="preserve"> the</w:t>
      </w:r>
      <w:r w:rsidR="00845101" w:rsidRPr="00BC4565">
        <w:rPr>
          <w:rFonts w:ascii="Arial" w:hAnsi="Arial" w:cs="Arial"/>
          <w:i/>
          <w:iCs/>
          <w:u w:val="single"/>
        </w:rPr>
        <w:t xml:space="preserve"> </w:t>
      </w:r>
      <w:r w:rsidRPr="00BC4565">
        <w:rPr>
          <w:rFonts w:ascii="Arial" w:hAnsi="Arial" w:cs="Arial"/>
          <w:i/>
          <w:iCs/>
          <w:u w:val="single"/>
        </w:rPr>
        <w:t>methodological concerns that directly undermine the reliability of pooled estimates and dose-response modelling used to support endocrine conclusions</w:t>
      </w:r>
      <w:r w:rsidRPr="00761E17">
        <w:rPr>
          <w:rFonts w:ascii="Arial" w:hAnsi="Arial" w:cs="Arial"/>
        </w:rPr>
        <w:t>:</w:t>
      </w:r>
    </w:p>
    <w:p w14:paraId="19272267" w14:textId="36D24A90" w:rsidR="008C0D90" w:rsidRPr="008C0D90" w:rsidRDefault="009B0C9C" w:rsidP="008C0D90">
      <w:pPr>
        <w:pStyle w:val="ListParagraph"/>
        <w:numPr>
          <w:ilvl w:val="0"/>
          <w:numId w:val="4"/>
        </w:numPr>
        <w:spacing w:after="160" w:line="259" w:lineRule="auto"/>
        <w:rPr>
          <w:rFonts w:ascii="Arial" w:hAnsi="Arial" w:cs="Arial"/>
        </w:rPr>
      </w:pPr>
      <w:r w:rsidRPr="00845101">
        <w:rPr>
          <w:rFonts w:ascii="Arial" w:hAnsi="Arial" w:cs="Arial"/>
          <w:b/>
          <w:bCs/>
        </w:rPr>
        <w:t>Extreme heterogeneity in thyroid meta-analyses</w:t>
      </w:r>
      <w:r w:rsidR="00500B6E">
        <w:rPr>
          <w:rFonts w:ascii="Arial" w:hAnsi="Arial" w:cs="Arial"/>
          <w:b/>
          <w:bCs/>
        </w:rPr>
        <w:t xml:space="preserve"> </w:t>
      </w:r>
      <w:r w:rsidR="00500B6E" w:rsidRPr="00500B6E">
        <w:rPr>
          <w:rFonts w:ascii="Arial" w:hAnsi="Arial" w:cs="Arial"/>
          <w:i/>
          <w:iCs/>
        </w:rPr>
        <w:t>(Section 11.1.2.1.1</w:t>
      </w:r>
      <w:r w:rsidR="00AC6668">
        <w:rPr>
          <w:rFonts w:ascii="Arial" w:hAnsi="Arial" w:cs="Arial"/>
          <w:i/>
          <w:iCs/>
        </w:rPr>
        <w:t>, p. 114 - 115</w:t>
      </w:r>
      <w:r w:rsidR="00500B6E" w:rsidRPr="00500B6E">
        <w:rPr>
          <w:rFonts w:ascii="Arial" w:hAnsi="Arial" w:cs="Arial"/>
          <w:i/>
          <w:iCs/>
        </w:rPr>
        <w:t>)</w:t>
      </w:r>
      <w:r w:rsidRPr="00845101">
        <w:rPr>
          <w:rFonts w:ascii="Arial" w:hAnsi="Arial" w:cs="Arial"/>
        </w:rPr>
        <w:t xml:space="preserve">: </w:t>
      </w:r>
      <w:r w:rsidR="008C0D90" w:rsidRPr="008C0D90">
        <w:rPr>
          <w:rFonts w:ascii="Arial" w:hAnsi="Arial" w:cs="Arial"/>
        </w:rPr>
        <w:t>The CL</w:t>
      </w:r>
      <w:r w:rsidR="00B859D4">
        <w:rPr>
          <w:rFonts w:ascii="Arial" w:hAnsi="Arial" w:cs="Arial"/>
        </w:rPr>
        <w:t>H</w:t>
      </w:r>
      <w:r w:rsidR="008C0D90" w:rsidRPr="008C0D90">
        <w:rPr>
          <w:rFonts w:ascii="Arial" w:hAnsi="Arial" w:cs="Arial"/>
        </w:rPr>
        <w:t xml:space="preserve"> report ignores the high heterogeneity, leading to inconsistencies in the </w:t>
      </w:r>
      <w:r w:rsidR="00280BB4">
        <w:rPr>
          <w:rFonts w:ascii="Arial" w:hAnsi="Arial" w:cs="Arial"/>
        </w:rPr>
        <w:t xml:space="preserve">reported </w:t>
      </w:r>
      <w:r w:rsidR="008C0D90" w:rsidRPr="008C0D90">
        <w:rPr>
          <w:rFonts w:ascii="Arial" w:hAnsi="Arial" w:cs="Arial"/>
        </w:rPr>
        <w:t xml:space="preserve">effect sizes </w:t>
      </w:r>
      <w:r w:rsidR="009C2D09">
        <w:rPr>
          <w:rFonts w:ascii="Arial" w:hAnsi="Arial" w:cs="Arial"/>
        </w:rPr>
        <w:t>(</w:t>
      </w:r>
      <w:proofErr w:type="spellStart"/>
      <w:r w:rsidR="008C0D90" w:rsidRPr="008C0D90">
        <w:rPr>
          <w:rFonts w:ascii="Arial" w:hAnsi="Arial" w:cs="Arial"/>
        </w:rPr>
        <w:t>Iamandii</w:t>
      </w:r>
      <w:proofErr w:type="spellEnd"/>
      <w:r w:rsidR="008C0D90" w:rsidRPr="008C0D90">
        <w:rPr>
          <w:rFonts w:ascii="Arial" w:hAnsi="Arial" w:cs="Arial"/>
        </w:rPr>
        <w:t xml:space="preserve"> et al</w:t>
      </w:r>
      <w:r w:rsidR="009C2D09">
        <w:rPr>
          <w:rFonts w:ascii="Arial" w:hAnsi="Arial" w:cs="Arial"/>
        </w:rPr>
        <w:t>, 2024)</w:t>
      </w:r>
      <w:r w:rsidR="008C0D90" w:rsidRPr="008C0D90">
        <w:rPr>
          <w:rFonts w:ascii="Arial" w:hAnsi="Arial" w:cs="Arial"/>
        </w:rPr>
        <w:t>. The unexplained heterogeneity (TSH – 1. water F I</w:t>
      </w:r>
      <w:r w:rsidR="008C0D90" w:rsidRPr="008C0D90">
        <w:rPr>
          <w:rFonts w:ascii="Arial" w:hAnsi="Arial" w:cs="Arial"/>
          <w:vertAlign w:val="superscript"/>
        </w:rPr>
        <w:t xml:space="preserve">2 </w:t>
      </w:r>
      <w:r w:rsidR="008C0D90" w:rsidRPr="008C0D90">
        <w:rPr>
          <w:rFonts w:ascii="Arial" w:hAnsi="Arial" w:cs="Arial"/>
        </w:rPr>
        <w:t>= 100%; 2. Urinary F I</w:t>
      </w:r>
      <w:r w:rsidR="008C0D90" w:rsidRPr="008C0D90">
        <w:rPr>
          <w:rFonts w:ascii="Arial" w:hAnsi="Arial" w:cs="Arial"/>
          <w:vertAlign w:val="superscript"/>
        </w:rPr>
        <w:t>2</w:t>
      </w:r>
      <w:r w:rsidR="008C0D90" w:rsidRPr="008C0D90">
        <w:rPr>
          <w:rFonts w:ascii="Arial" w:hAnsi="Arial" w:cs="Arial"/>
        </w:rPr>
        <w:t xml:space="preserve"> =100%; 3- Serum I</w:t>
      </w:r>
      <w:r w:rsidR="008C0D90" w:rsidRPr="008C0D90">
        <w:rPr>
          <w:rFonts w:ascii="Arial" w:hAnsi="Arial" w:cs="Arial"/>
          <w:vertAlign w:val="superscript"/>
        </w:rPr>
        <w:t xml:space="preserve">2 </w:t>
      </w:r>
      <w:r w:rsidR="008C0D90" w:rsidRPr="008C0D90">
        <w:rPr>
          <w:rFonts w:ascii="Arial" w:hAnsi="Arial" w:cs="Arial"/>
        </w:rPr>
        <w:t xml:space="preserve">=99%) </w:t>
      </w:r>
      <w:r w:rsidR="00EC1C42">
        <w:rPr>
          <w:rFonts w:ascii="Arial" w:hAnsi="Arial" w:cs="Arial"/>
        </w:rPr>
        <w:t>show</w:t>
      </w:r>
      <w:r w:rsidR="00DF7273">
        <w:rPr>
          <w:rFonts w:ascii="Arial" w:hAnsi="Arial" w:cs="Arial"/>
        </w:rPr>
        <w:t>s</w:t>
      </w:r>
      <w:r w:rsidR="00EC1C42">
        <w:rPr>
          <w:rFonts w:ascii="Arial" w:hAnsi="Arial" w:cs="Arial"/>
        </w:rPr>
        <w:t xml:space="preserve"> </w:t>
      </w:r>
      <w:r w:rsidR="00EC1C42" w:rsidRPr="00845101">
        <w:rPr>
          <w:rFonts w:ascii="Arial" w:hAnsi="Arial" w:cs="Arial"/>
        </w:rPr>
        <w:t xml:space="preserve">no single common effect and dose-response modelling is not meaningful in that context. </w:t>
      </w:r>
      <w:r w:rsidR="00686D8D">
        <w:rPr>
          <w:rFonts w:ascii="Arial" w:hAnsi="Arial" w:cs="Arial"/>
        </w:rPr>
        <w:t>The r</w:t>
      </w:r>
      <w:r w:rsidR="0072179E" w:rsidRPr="0072179E">
        <w:rPr>
          <w:rFonts w:ascii="Arial" w:hAnsi="Arial" w:cs="Arial"/>
        </w:rPr>
        <w:t xml:space="preserve">eported thyroid hormone effects are variable in direction and magnitude, and important confounders such as iodine status are frequently unmeasured or inadequately controlled. </w:t>
      </w:r>
      <w:r w:rsidR="00B4372B">
        <w:rPr>
          <w:rFonts w:ascii="Arial" w:hAnsi="Arial" w:cs="Arial"/>
        </w:rPr>
        <w:t>Therefore, n</w:t>
      </w:r>
      <w:r w:rsidR="008C0D90" w:rsidRPr="008C0D90">
        <w:rPr>
          <w:rFonts w:ascii="Arial" w:hAnsi="Arial" w:cs="Arial"/>
        </w:rPr>
        <w:t xml:space="preserve">o conclusions </w:t>
      </w:r>
      <w:r w:rsidR="007F44DC">
        <w:rPr>
          <w:rFonts w:ascii="Arial" w:hAnsi="Arial" w:cs="Arial"/>
        </w:rPr>
        <w:t>can</w:t>
      </w:r>
      <w:r w:rsidR="008C0D90" w:rsidRPr="008C0D90">
        <w:rPr>
          <w:rFonts w:ascii="Arial" w:hAnsi="Arial" w:cs="Arial"/>
        </w:rPr>
        <w:t xml:space="preserve"> be drawn </w:t>
      </w:r>
      <w:r w:rsidR="003B7BA6">
        <w:rPr>
          <w:rFonts w:ascii="Arial" w:hAnsi="Arial" w:cs="Arial"/>
        </w:rPr>
        <w:t xml:space="preserve">from meta-analyses </w:t>
      </w:r>
      <w:r w:rsidR="008C0D90" w:rsidRPr="008C0D90">
        <w:rPr>
          <w:rFonts w:ascii="Arial" w:hAnsi="Arial" w:cs="Arial"/>
        </w:rPr>
        <w:t>when such high unexplained heterogeneity is observed</w:t>
      </w:r>
      <w:r w:rsidR="00B4372B">
        <w:rPr>
          <w:rFonts w:ascii="Arial" w:hAnsi="Arial" w:cs="Arial"/>
        </w:rPr>
        <w:t xml:space="preserve"> (US NTP, 2019</w:t>
      </w:r>
      <w:r w:rsidR="00E57DBF">
        <w:rPr>
          <w:rFonts w:ascii="Arial" w:hAnsi="Arial" w:cs="Arial"/>
        </w:rPr>
        <w:t>b;</w:t>
      </w:r>
      <w:r w:rsidR="003A5ED6">
        <w:rPr>
          <w:rFonts w:ascii="Arial" w:hAnsi="Arial" w:cs="Arial"/>
        </w:rPr>
        <w:t xml:space="preserve"> Crippa et al. 2016</w:t>
      </w:r>
      <w:r w:rsidR="00B4372B">
        <w:rPr>
          <w:rFonts w:ascii="Arial" w:hAnsi="Arial" w:cs="Arial"/>
        </w:rPr>
        <w:t>)</w:t>
      </w:r>
      <w:r w:rsidR="008C0D90" w:rsidRPr="008C0D90">
        <w:rPr>
          <w:rFonts w:ascii="Arial" w:hAnsi="Arial" w:cs="Arial"/>
        </w:rPr>
        <w:t xml:space="preserve">. </w:t>
      </w:r>
    </w:p>
    <w:p w14:paraId="590825D3" w14:textId="6CB9DC1F" w:rsidR="009B0C9C" w:rsidRPr="009A2029" w:rsidRDefault="009B0C9C" w:rsidP="00FA4450">
      <w:pPr>
        <w:pStyle w:val="ListParagraph"/>
        <w:numPr>
          <w:ilvl w:val="0"/>
          <w:numId w:val="4"/>
        </w:numPr>
        <w:spacing w:after="160" w:line="259" w:lineRule="auto"/>
        <w:rPr>
          <w:rFonts w:ascii="Arial" w:hAnsi="Arial" w:cs="Arial"/>
          <w:b/>
          <w:bCs/>
          <w:i/>
          <w:iCs/>
        </w:rPr>
      </w:pPr>
      <w:r w:rsidRPr="00845101">
        <w:rPr>
          <w:rFonts w:ascii="Arial" w:hAnsi="Arial" w:cs="Arial"/>
          <w:b/>
          <w:bCs/>
        </w:rPr>
        <w:t>Selective interpretation of key studies</w:t>
      </w:r>
      <w:r w:rsidR="00500B6E">
        <w:rPr>
          <w:rFonts w:ascii="Arial" w:hAnsi="Arial" w:cs="Arial"/>
          <w:b/>
          <w:bCs/>
        </w:rPr>
        <w:t xml:space="preserve"> </w:t>
      </w:r>
      <w:r w:rsidR="00500B6E" w:rsidRPr="00500B6E">
        <w:rPr>
          <w:rFonts w:ascii="Arial" w:hAnsi="Arial" w:cs="Arial"/>
          <w:i/>
          <w:iCs/>
        </w:rPr>
        <w:t>(Section 11.1.2.1.1 - Table 20)</w:t>
      </w:r>
      <w:r w:rsidRPr="00845101">
        <w:rPr>
          <w:rFonts w:ascii="Arial" w:hAnsi="Arial" w:cs="Arial"/>
        </w:rPr>
        <w:t xml:space="preserve">: </w:t>
      </w:r>
      <w:r w:rsidR="00B94F11">
        <w:rPr>
          <w:rFonts w:ascii="Arial" w:hAnsi="Arial" w:cs="Arial"/>
        </w:rPr>
        <w:t xml:space="preserve">the </w:t>
      </w:r>
      <w:r w:rsidRPr="00845101">
        <w:rPr>
          <w:rFonts w:ascii="Arial" w:hAnsi="Arial" w:cs="Arial"/>
        </w:rPr>
        <w:t xml:space="preserve">CLH </w:t>
      </w:r>
      <w:r w:rsidR="00B94F11">
        <w:rPr>
          <w:rFonts w:ascii="Arial" w:hAnsi="Arial" w:cs="Arial"/>
        </w:rPr>
        <w:t>report</w:t>
      </w:r>
      <w:r w:rsidRPr="00845101">
        <w:rPr>
          <w:rFonts w:ascii="Arial" w:hAnsi="Arial" w:cs="Arial"/>
        </w:rPr>
        <w:t xml:space="preserve"> emphasi</w:t>
      </w:r>
      <w:r w:rsidR="00045A9D">
        <w:rPr>
          <w:rFonts w:ascii="Arial" w:hAnsi="Arial" w:cs="Arial"/>
        </w:rPr>
        <w:t>s</w:t>
      </w:r>
      <w:r w:rsidRPr="00845101">
        <w:rPr>
          <w:rFonts w:ascii="Arial" w:hAnsi="Arial" w:cs="Arial"/>
        </w:rPr>
        <w:t xml:space="preserve">es significant findings in some analyses while </w:t>
      </w:r>
      <w:r w:rsidRPr="00B94F11">
        <w:rPr>
          <w:rFonts w:ascii="Arial" w:hAnsi="Arial" w:cs="Arial"/>
          <w:i/>
          <w:iCs/>
          <w:u w:val="single"/>
        </w:rPr>
        <w:t>ignoring null findings</w:t>
      </w:r>
      <w:r w:rsidRPr="00845101">
        <w:rPr>
          <w:rFonts w:ascii="Arial" w:hAnsi="Arial" w:cs="Arial"/>
        </w:rPr>
        <w:t xml:space="preserve"> for urinary fluoride and intake metrics</w:t>
      </w:r>
      <w:r w:rsidR="00447E97">
        <w:rPr>
          <w:rFonts w:ascii="Arial" w:hAnsi="Arial" w:cs="Arial"/>
        </w:rPr>
        <w:t>,</w:t>
      </w:r>
      <w:r w:rsidR="00595E28">
        <w:rPr>
          <w:rFonts w:ascii="Arial" w:hAnsi="Arial" w:cs="Arial"/>
        </w:rPr>
        <w:t xml:space="preserve"> although it </w:t>
      </w:r>
      <w:r w:rsidRPr="00845101">
        <w:rPr>
          <w:rFonts w:ascii="Arial" w:hAnsi="Arial" w:cs="Arial"/>
        </w:rPr>
        <w:t xml:space="preserve">acknowledges limitations such as possible reporting bias. </w:t>
      </w:r>
      <w:r w:rsidR="00161A77">
        <w:rPr>
          <w:rFonts w:ascii="Arial" w:hAnsi="Arial" w:cs="Arial"/>
        </w:rPr>
        <w:t>For example, t</w:t>
      </w:r>
      <w:r w:rsidR="004C472D" w:rsidRPr="004C472D">
        <w:rPr>
          <w:rFonts w:ascii="Arial" w:hAnsi="Arial" w:cs="Arial"/>
        </w:rPr>
        <w:t xml:space="preserve">he report cites the adverse effect found in six analyses but ignores the lack of effect with urinary fluoride and </w:t>
      </w:r>
      <w:r w:rsidR="00AF5945">
        <w:rPr>
          <w:rFonts w:ascii="Arial" w:hAnsi="Arial" w:cs="Arial"/>
        </w:rPr>
        <w:t>fluoride</w:t>
      </w:r>
      <w:r w:rsidR="004C472D" w:rsidRPr="004C472D">
        <w:rPr>
          <w:rFonts w:ascii="Arial" w:hAnsi="Arial" w:cs="Arial"/>
        </w:rPr>
        <w:t xml:space="preserve"> intake</w:t>
      </w:r>
      <w:r w:rsidR="00AF5945">
        <w:rPr>
          <w:rFonts w:ascii="Arial" w:hAnsi="Arial" w:cs="Arial"/>
        </w:rPr>
        <w:t>.</w:t>
      </w:r>
      <w:r w:rsidR="007B34B5">
        <w:rPr>
          <w:rFonts w:ascii="Arial" w:hAnsi="Arial" w:cs="Arial"/>
        </w:rPr>
        <w:t xml:space="preserve"> Additionally, the report</w:t>
      </w:r>
      <w:r w:rsidR="007E55FA">
        <w:rPr>
          <w:rFonts w:ascii="Arial" w:hAnsi="Arial" w:cs="Arial"/>
        </w:rPr>
        <w:t xml:space="preserve"> concludes that </w:t>
      </w:r>
      <w:r w:rsidR="00B74A69" w:rsidRPr="00B74A69">
        <w:rPr>
          <w:rFonts w:ascii="Arial" w:hAnsi="Arial" w:cs="Arial"/>
        </w:rPr>
        <w:t>there is sufficient evidence that fluoride exposure, including developmental exposure, can affect the thyroid.</w:t>
      </w:r>
      <w:r w:rsidR="00B74A69">
        <w:rPr>
          <w:rFonts w:ascii="Arial" w:hAnsi="Arial" w:cs="Arial"/>
        </w:rPr>
        <w:t xml:space="preserve"> However</w:t>
      </w:r>
      <w:r w:rsidR="00DE3E62">
        <w:rPr>
          <w:rFonts w:ascii="Arial" w:hAnsi="Arial" w:cs="Arial"/>
        </w:rPr>
        <w:t>, i</w:t>
      </w:r>
      <w:r w:rsidR="00B74A69">
        <w:rPr>
          <w:rFonts w:ascii="Arial" w:hAnsi="Arial" w:cs="Arial"/>
        </w:rPr>
        <w:t xml:space="preserve">t ignores </w:t>
      </w:r>
      <w:r w:rsidR="00DE3E62" w:rsidRPr="00DE3E62">
        <w:rPr>
          <w:rFonts w:ascii="Arial" w:hAnsi="Arial" w:cs="Arial"/>
        </w:rPr>
        <w:t>ECHA CLP guidance criteria (ECHA, 2024)</w:t>
      </w:r>
      <w:r w:rsidR="00850FC9">
        <w:rPr>
          <w:rFonts w:ascii="Arial" w:hAnsi="Arial" w:cs="Arial"/>
        </w:rPr>
        <w:t xml:space="preserve"> that</w:t>
      </w:r>
      <w:r w:rsidR="00DE3E62" w:rsidRPr="00DE3E62">
        <w:rPr>
          <w:rFonts w:ascii="Arial" w:hAnsi="Arial" w:cs="Arial"/>
        </w:rPr>
        <w:t xml:space="preserve"> </w:t>
      </w:r>
      <w:r w:rsidR="00850FC9">
        <w:rPr>
          <w:rFonts w:ascii="Arial" w:hAnsi="Arial" w:cs="Arial"/>
        </w:rPr>
        <w:t>“</w:t>
      </w:r>
      <w:r w:rsidR="00DE3E62" w:rsidRPr="00850FC9">
        <w:rPr>
          <w:rFonts w:ascii="Arial" w:hAnsi="Arial" w:cs="Arial"/>
          <w:i/>
          <w:iCs/>
        </w:rPr>
        <w:t>increased thyroid weight and thyroid follicular cell hypertrophy/hyperplasia are commonly observed in rodent toxicity studies. These effects are T-mediated and can therefore be considered as an indication of reduced serum TH</w:t>
      </w:r>
      <w:r w:rsidR="00E56A99">
        <w:rPr>
          <w:rFonts w:ascii="Arial" w:hAnsi="Arial" w:cs="Arial"/>
          <w:i/>
          <w:iCs/>
        </w:rPr>
        <w:t>s</w:t>
      </w:r>
      <w:r w:rsidR="00DE3E62" w:rsidRPr="00DE3E62">
        <w:rPr>
          <w:rFonts w:ascii="Arial" w:hAnsi="Arial" w:cs="Arial"/>
        </w:rPr>
        <w:t>”. In addition, the CLP guidance mentioned that a “</w:t>
      </w:r>
      <w:r w:rsidR="00DE3E62" w:rsidRPr="00CB30A6">
        <w:rPr>
          <w:rFonts w:ascii="Arial" w:hAnsi="Arial" w:cs="Arial"/>
          <w:i/>
          <w:iCs/>
        </w:rPr>
        <w:t>proper tissue concentration of TH</w:t>
      </w:r>
      <w:r w:rsidR="00224288">
        <w:rPr>
          <w:rFonts w:ascii="Arial" w:hAnsi="Arial" w:cs="Arial"/>
          <w:i/>
          <w:iCs/>
        </w:rPr>
        <w:t>s</w:t>
      </w:r>
      <w:r w:rsidR="00DE3E62" w:rsidRPr="00CB30A6">
        <w:rPr>
          <w:rFonts w:ascii="Arial" w:hAnsi="Arial" w:cs="Arial"/>
          <w:i/>
          <w:iCs/>
        </w:rPr>
        <w:t xml:space="preserve"> </w:t>
      </w:r>
      <w:r w:rsidR="00DE3E62" w:rsidRPr="00CB30A6">
        <w:rPr>
          <w:rFonts w:ascii="Arial" w:hAnsi="Arial" w:cs="Arial"/>
          <w:i/>
          <w:iCs/>
        </w:rPr>
        <w:lastRenderedPageBreak/>
        <w:t xml:space="preserve">is crucial for proper tissue function, during all phases of life, but the consequences of improper tissue concentration differ depending on the life-stage exposed. It should be noted that even small changes in </w:t>
      </w:r>
      <w:proofErr w:type="spellStart"/>
      <w:r w:rsidR="00DE3E62" w:rsidRPr="00CB30A6">
        <w:rPr>
          <w:rFonts w:ascii="Arial" w:hAnsi="Arial" w:cs="Arial"/>
          <w:i/>
          <w:iCs/>
        </w:rPr>
        <w:t>foetal</w:t>
      </w:r>
      <w:proofErr w:type="spellEnd"/>
      <w:r w:rsidR="00DE3E62" w:rsidRPr="00CB30A6">
        <w:rPr>
          <w:rFonts w:ascii="Arial" w:hAnsi="Arial" w:cs="Arial"/>
          <w:i/>
          <w:iCs/>
        </w:rPr>
        <w:t xml:space="preserve"> thyroid hormone levels (e.g. due to decrease of maternal TH levels) may have an influence on adverse outcomes, particularly those related to developmental neurotoxicity</w:t>
      </w:r>
      <w:r w:rsidR="00DE3E62" w:rsidRPr="00DE3E62">
        <w:rPr>
          <w:rFonts w:ascii="Arial" w:hAnsi="Arial" w:cs="Arial"/>
        </w:rPr>
        <w:t>”</w:t>
      </w:r>
      <w:r w:rsidR="009A2029">
        <w:rPr>
          <w:rFonts w:ascii="Arial" w:hAnsi="Arial" w:cs="Arial"/>
        </w:rPr>
        <w:t>.</w:t>
      </w:r>
    </w:p>
    <w:p w14:paraId="647F5E63" w14:textId="702CB7DF" w:rsidR="009A2029" w:rsidRDefault="00CB21A4" w:rsidP="006C02B6">
      <w:pPr>
        <w:pStyle w:val="ListParagraph"/>
        <w:numPr>
          <w:ilvl w:val="0"/>
          <w:numId w:val="4"/>
        </w:numPr>
        <w:spacing w:after="160" w:line="259" w:lineRule="auto"/>
        <w:rPr>
          <w:rFonts w:ascii="Arial" w:hAnsi="Arial" w:cs="Arial"/>
        </w:rPr>
      </w:pPr>
      <w:r w:rsidRPr="00CB21A4">
        <w:rPr>
          <w:rFonts w:ascii="Arial" w:hAnsi="Arial" w:cs="Arial"/>
          <w:b/>
          <w:bCs/>
        </w:rPr>
        <w:t xml:space="preserve">Limited </w:t>
      </w:r>
      <w:r w:rsidR="0053399E">
        <w:rPr>
          <w:rFonts w:ascii="Arial" w:hAnsi="Arial" w:cs="Arial"/>
          <w:b/>
          <w:bCs/>
        </w:rPr>
        <w:t>d</w:t>
      </w:r>
      <w:r w:rsidRPr="00CB21A4">
        <w:rPr>
          <w:rFonts w:ascii="Arial" w:hAnsi="Arial" w:cs="Arial"/>
          <w:b/>
          <w:bCs/>
        </w:rPr>
        <w:t xml:space="preserve">irect </w:t>
      </w:r>
      <w:r w:rsidR="0053399E">
        <w:rPr>
          <w:rFonts w:ascii="Arial" w:hAnsi="Arial" w:cs="Arial"/>
          <w:b/>
          <w:bCs/>
        </w:rPr>
        <w:t>t</w:t>
      </w:r>
      <w:r w:rsidRPr="00CB21A4">
        <w:rPr>
          <w:rFonts w:ascii="Arial" w:hAnsi="Arial" w:cs="Arial"/>
          <w:b/>
          <w:bCs/>
        </w:rPr>
        <w:t xml:space="preserve">hyroid </w:t>
      </w:r>
      <w:r w:rsidR="0053399E">
        <w:rPr>
          <w:rFonts w:ascii="Arial" w:hAnsi="Arial" w:cs="Arial"/>
          <w:b/>
          <w:bCs/>
        </w:rPr>
        <w:t>e</w:t>
      </w:r>
      <w:r w:rsidRPr="00CB21A4">
        <w:rPr>
          <w:rFonts w:ascii="Arial" w:hAnsi="Arial" w:cs="Arial"/>
          <w:b/>
          <w:bCs/>
        </w:rPr>
        <w:t xml:space="preserve">ndocrine </w:t>
      </w:r>
      <w:r w:rsidR="0053399E">
        <w:rPr>
          <w:rFonts w:ascii="Arial" w:hAnsi="Arial" w:cs="Arial"/>
          <w:b/>
          <w:bCs/>
        </w:rPr>
        <w:t>a</w:t>
      </w:r>
      <w:r w:rsidRPr="00CB21A4">
        <w:rPr>
          <w:rFonts w:ascii="Arial" w:hAnsi="Arial" w:cs="Arial"/>
          <w:b/>
          <w:bCs/>
        </w:rPr>
        <w:t xml:space="preserve">ctivity </w:t>
      </w:r>
      <w:r w:rsidR="0053399E">
        <w:rPr>
          <w:rFonts w:ascii="Arial" w:hAnsi="Arial" w:cs="Arial"/>
          <w:b/>
          <w:bCs/>
        </w:rPr>
        <w:t>e</w:t>
      </w:r>
      <w:r w:rsidRPr="00CB21A4">
        <w:rPr>
          <w:rFonts w:ascii="Arial" w:hAnsi="Arial" w:cs="Arial"/>
          <w:b/>
          <w:bCs/>
        </w:rPr>
        <w:t>vidence</w:t>
      </w:r>
      <w:r w:rsidR="00500B6E">
        <w:rPr>
          <w:rFonts w:ascii="Arial" w:hAnsi="Arial" w:cs="Arial"/>
          <w:b/>
          <w:bCs/>
        </w:rPr>
        <w:t xml:space="preserve"> </w:t>
      </w:r>
      <w:r w:rsidR="00500B6E" w:rsidRPr="00500B6E">
        <w:rPr>
          <w:rFonts w:ascii="Arial" w:hAnsi="Arial" w:cs="Arial"/>
        </w:rPr>
        <w:t>(Section 11.1.4</w:t>
      </w:r>
      <w:r w:rsidR="00CC226E">
        <w:rPr>
          <w:rFonts w:ascii="Arial" w:hAnsi="Arial" w:cs="Arial"/>
        </w:rPr>
        <w:t>, p. 161</w:t>
      </w:r>
      <w:r w:rsidR="00877986">
        <w:rPr>
          <w:rFonts w:ascii="Arial" w:hAnsi="Arial" w:cs="Arial"/>
        </w:rPr>
        <w:t xml:space="preserve"> - 164</w:t>
      </w:r>
      <w:r w:rsidR="00500B6E" w:rsidRPr="00500B6E">
        <w:rPr>
          <w:rFonts w:ascii="Arial" w:hAnsi="Arial" w:cs="Arial"/>
        </w:rPr>
        <w:t>)</w:t>
      </w:r>
      <w:r>
        <w:rPr>
          <w:rFonts w:ascii="Arial" w:hAnsi="Arial" w:cs="Arial"/>
          <w:b/>
          <w:bCs/>
        </w:rPr>
        <w:t>:</w:t>
      </w:r>
      <w:r w:rsidR="00347492" w:rsidRPr="00347492">
        <w:t xml:space="preserve"> </w:t>
      </w:r>
      <w:r w:rsidR="00347492" w:rsidRPr="00347492">
        <w:rPr>
          <w:rFonts w:ascii="Arial" w:hAnsi="Arial" w:cs="Arial"/>
        </w:rPr>
        <w:t xml:space="preserve">the CLH report’s own evidence tables indicate that sodium fluoride has substantial gaps in </w:t>
      </w:r>
      <w:r w:rsidR="00FA75BF">
        <w:rPr>
          <w:rFonts w:ascii="Arial" w:hAnsi="Arial" w:cs="Arial"/>
        </w:rPr>
        <w:t xml:space="preserve">evidence for </w:t>
      </w:r>
      <w:r w:rsidR="00347492" w:rsidRPr="00347492">
        <w:rPr>
          <w:rFonts w:ascii="Arial" w:hAnsi="Arial" w:cs="Arial"/>
        </w:rPr>
        <w:t xml:space="preserve">direct, thyroid-relevant endocrine activity. Specifically, the report notes that the </w:t>
      </w:r>
      <w:proofErr w:type="spellStart"/>
      <w:r w:rsidR="00FB6F33" w:rsidRPr="00FB6F33">
        <w:rPr>
          <w:rFonts w:ascii="Arial" w:hAnsi="Arial" w:cs="Arial"/>
        </w:rPr>
        <w:t>ToxCast</w:t>
      </w:r>
      <w:proofErr w:type="spellEnd"/>
      <w:r w:rsidR="00FB6F33" w:rsidRPr="00FB6F33">
        <w:rPr>
          <w:rFonts w:ascii="Arial" w:hAnsi="Arial" w:cs="Arial"/>
        </w:rPr>
        <w:t xml:space="preserve"> analysis indicated that sodium fluoride was tested in 56 assays (19/01/2023) studying only neurodevelopment and cell cycle endpoints</w:t>
      </w:r>
      <w:r w:rsidR="00D0094A">
        <w:rPr>
          <w:rFonts w:ascii="Arial" w:hAnsi="Arial" w:cs="Arial"/>
        </w:rPr>
        <w:t>,</w:t>
      </w:r>
      <w:r w:rsidR="006C02B6">
        <w:rPr>
          <w:rFonts w:ascii="Arial" w:hAnsi="Arial" w:cs="Arial"/>
        </w:rPr>
        <w:t xml:space="preserve"> and</w:t>
      </w:r>
      <w:r w:rsidR="00D0094A">
        <w:rPr>
          <w:rFonts w:ascii="Arial" w:hAnsi="Arial" w:cs="Arial"/>
        </w:rPr>
        <w:t xml:space="preserve"> that</w:t>
      </w:r>
      <w:r w:rsidR="00FB6F33" w:rsidRPr="00FB6F33">
        <w:rPr>
          <w:rFonts w:ascii="Arial" w:hAnsi="Arial" w:cs="Arial"/>
        </w:rPr>
        <w:t xml:space="preserve"> </w:t>
      </w:r>
      <w:r w:rsidR="006C02B6">
        <w:rPr>
          <w:rFonts w:ascii="Arial" w:hAnsi="Arial" w:cs="Arial"/>
        </w:rPr>
        <w:t>“</w:t>
      </w:r>
      <w:proofErr w:type="spellStart"/>
      <w:r w:rsidR="00FB6F33" w:rsidRPr="006C02B6">
        <w:rPr>
          <w:rFonts w:ascii="Arial" w:hAnsi="Arial" w:cs="Arial"/>
          <w:i/>
          <w:iCs/>
        </w:rPr>
        <w:t>NaF</w:t>
      </w:r>
      <w:proofErr w:type="spellEnd"/>
      <w:r w:rsidR="00FB6F33" w:rsidRPr="006C02B6">
        <w:rPr>
          <w:rFonts w:ascii="Arial" w:hAnsi="Arial" w:cs="Arial"/>
          <w:i/>
          <w:iCs/>
        </w:rPr>
        <w:t xml:space="preserve"> was inactive in all these assays</w:t>
      </w:r>
      <w:r w:rsidR="006C02B6">
        <w:rPr>
          <w:rFonts w:ascii="Arial" w:hAnsi="Arial" w:cs="Arial"/>
        </w:rPr>
        <w:t xml:space="preserve">” </w:t>
      </w:r>
      <w:r w:rsidR="00347492" w:rsidRPr="006C02B6">
        <w:rPr>
          <w:rFonts w:ascii="Arial" w:hAnsi="Arial" w:cs="Arial"/>
        </w:rPr>
        <w:t xml:space="preserve">with </w:t>
      </w:r>
      <w:r w:rsidR="006C02B6">
        <w:rPr>
          <w:rFonts w:ascii="Arial" w:hAnsi="Arial" w:cs="Arial"/>
        </w:rPr>
        <w:t>“</w:t>
      </w:r>
      <w:r w:rsidR="00347492" w:rsidRPr="006C02B6">
        <w:rPr>
          <w:rFonts w:ascii="Arial" w:hAnsi="Arial" w:cs="Arial"/>
          <w:i/>
          <w:iCs/>
        </w:rPr>
        <w:t>no available data in key thyroid-relevant assays</w:t>
      </w:r>
      <w:r w:rsidR="006C02B6">
        <w:rPr>
          <w:rFonts w:ascii="Arial" w:hAnsi="Arial" w:cs="Arial"/>
        </w:rPr>
        <w:t>”</w:t>
      </w:r>
      <w:r w:rsidR="00347492" w:rsidRPr="006C02B6">
        <w:rPr>
          <w:rFonts w:ascii="Arial" w:hAnsi="Arial" w:cs="Arial"/>
        </w:rPr>
        <w:t xml:space="preserve"> for thyroid hormone receptors (THR), sodium/iodide symporter inhibition (NIS), or thyroid peroxidase (TPO).  In addition, the literature review underpinning the endocrine activity tables identified </w:t>
      </w:r>
      <w:r w:rsidR="00347492" w:rsidRPr="00774941">
        <w:rPr>
          <w:rFonts w:ascii="Arial" w:hAnsi="Arial" w:cs="Arial"/>
          <w:u w:val="single"/>
        </w:rPr>
        <w:t>only four</w:t>
      </w:r>
      <w:r w:rsidR="00347492" w:rsidRPr="006C02B6">
        <w:rPr>
          <w:rFonts w:ascii="Arial" w:hAnsi="Arial" w:cs="Arial"/>
        </w:rPr>
        <w:t xml:space="preserve"> in vitro/ex vivo thyroid-related articles (Table 26).  The report further acknowledges that many in vitro studies used sodium fluoride primarily as a cytotoxic agent or as a prototypical inducer of cAMP signaling, rather than to test endpoints directly relevant to thyroid hormone synthesis or secretion, and that </w:t>
      </w:r>
      <w:r w:rsidR="00347492" w:rsidRPr="00344FEA">
        <w:rPr>
          <w:rFonts w:ascii="Arial" w:hAnsi="Arial" w:cs="Arial"/>
          <w:u w:val="single"/>
        </w:rPr>
        <w:t>exposures were often at very high concentrations</w:t>
      </w:r>
      <w:r w:rsidR="00347492" w:rsidRPr="006C02B6">
        <w:rPr>
          <w:rFonts w:ascii="Arial" w:hAnsi="Arial" w:cs="Arial"/>
        </w:rPr>
        <w:t>, sometimes exceeding cytotoxic thresholds</w:t>
      </w:r>
      <w:r w:rsidR="00344FEA">
        <w:rPr>
          <w:rFonts w:ascii="Arial" w:hAnsi="Arial" w:cs="Arial"/>
        </w:rPr>
        <w:t xml:space="preserve">, </w:t>
      </w:r>
      <w:r w:rsidR="00347492" w:rsidRPr="006C02B6">
        <w:rPr>
          <w:rFonts w:ascii="Arial" w:hAnsi="Arial" w:cs="Arial"/>
        </w:rPr>
        <w:t xml:space="preserve">limitations that reduce interpretability for endocrine hazard identification. </w:t>
      </w:r>
      <w:r w:rsidR="0087604E" w:rsidRPr="00A529E8">
        <w:rPr>
          <w:rFonts w:ascii="Arial" w:hAnsi="Arial" w:cs="Arial"/>
          <w:b/>
          <w:bCs/>
        </w:rPr>
        <w:t>T</w:t>
      </w:r>
      <w:r w:rsidR="00347492" w:rsidRPr="00A529E8">
        <w:rPr>
          <w:rFonts w:ascii="Arial" w:hAnsi="Arial" w:cs="Arial"/>
          <w:b/>
          <w:bCs/>
        </w:rPr>
        <w:t>hese evidence-table limitations suggest that the endocrine activity evidence for the thyroid axis is limited in scope and largely indirect</w:t>
      </w:r>
      <w:r w:rsidR="00E51264" w:rsidRPr="00A529E8">
        <w:rPr>
          <w:rFonts w:ascii="Arial" w:hAnsi="Arial" w:cs="Arial"/>
          <w:b/>
          <w:bCs/>
        </w:rPr>
        <w:t>.</w:t>
      </w:r>
    </w:p>
    <w:p w14:paraId="75B59EC1" w14:textId="4113FC2E" w:rsidR="000A6E8A" w:rsidRPr="0032630C" w:rsidRDefault="000A6E8A" w:rsidP="00E21A48">
      <w:pPr>
        <w:spacing w:after="160" w:line="259" w:lineRule="auto"/>
        <w:rPr>
          <w:rFonts w:ascii="Arial" w:hAnsi="Arial" w:cs="Arial"/>
        </w:rPr>
      </w:pPr>
      <w:r w:rsidRPr="000A6E8A">
        <w:rPr>
          <w:rFonts w:ascii="Arial" w:hAnsi="Arial" w:cs="Arial"/>
        </w:rPr>
        <w:t xml:space="preserve">Further, the CLH report itself states that fertility effects in males are </w:t>
      </w:r>
      <w:r w:rsidRPr="000B6F5E">
        <w:rPr>
          <w:rFonts w:ascii="Arial" w:hAnsi="Arial" w:cs="Arial"/>
          <w:i/>
          <w:iCs/>
          <w:u w:val="single"/>
        </w:rPr>
        <w:t>not predominantly driven by endocrine mechanisms</w:t>
      </w:r>
      <w:r w:rsidRPr="000A6E8A">
        <w:rPr>
          <w:rFonts w:ascii="Arial" w:hAnsi="Arial" w:cs="Arial"/>
        </w:rPr>
        <w:t xml:space="preserve">. </w:t>
      </w:r>
      <w:r w:rsidR="00272F7E">
        <w:rPr>
          <w:rFonts w:ascii="Arial" w:hAnsi="Arial" w:cs="Arial"/>
        </w:rPr>
        <w:t xml:space="preserve">Additionally, </w:t>
      </w:r>
      <w:r w:rsidR="008A5DA5">
        <w:rPr>
          <w:rFonts w:ascii="Arial" w:hAnsi="Arial" w:cs="Arial"/>
        </w:rPr>
        <w:t xml:space="preserve">and importantly, the report does not include studies where </w:t>
      </w:r>
      <w:r w:rsidR="00272F7E" w:rsidRPr="00272F7E">
        <w:rPr>
          <w:rFonts w:ascii="Arial" w:hAnsi="Arial" w:cs="Arial"/>
        </w:rPr>
        <w:t>TSH changes are demonstrated at typical drinking water concentrations</w:t>
      </w:r>
      <w:r w:rsidR="00272F7E">
        <w:rPr>
          <w:rFonts w:ascii="Arial" w:hAnsi="Arial" w:cs="Arial"/>
        </w:rPr>
        <w:t>.</w:t>
      </w:r>
      <w:r w:rsidR="00107C62">
        <w:rPr>
          <w:rFonts w:ascii="Arial" w:hAnsi="Arial" w:cs="Arial"/>
        </w:rPr>
        <w:t xml:space="preserve"> Furthermore, although the report </w:t>
      </w:r>
      <w:r w:rsidR="00107C62" w:rsidRPr="00107C62">
        <w:rPr>
          <w:rFonts w:ascii="Arial" w:hAnsi="Arial" w:cs="Arial"/>
        </w:rPr>
        <w:t>invokes established thyroid-related AOPs to support biological plausibility</w:t>
      </w:r>
      <w:r w:rsidR="00107C62">
        <w:rPr>
          <w:rFonts w:ascii="Arial" w:hAnsi="Arial" w:cs="Arial"/>
        </w:rPr>
        <w:t>,</w:t>
      </w:r>
      <w:r w:rsidR="00107C62" w:rsidRPr="00107C62">
        <w:rPr>
          <w:rFonts w:ascii="Arial" w:hAnsi="Arial" w:cs="Arial"/>
        </w:rPr>
        <w:t xml:space="preserve"> while these AOPs are valid</w:t>
      </w:r>
      <w:r w:rsidR="0059773E">
        <w:rPr>
          <w:rFonts w:ascii="Arial" w:hAnsi="Arial" w:cs="Arial"/>
        </w:rPr>
        <w:t>,</w:t>
      </w:r>
      <w:r w:rsidR="00107C62" w:rsidRPr="00107C62">
        <w:rPr>
          <w:rFonts w:ascii="Arial" w:hAnsi="Arial" w:cs="Arial"/>
        </w:rPr>
        <w:t xml:space="preserve"> in general sustained and specific perturbation of key endocrine events by sodium fluoride at relevant exposure levels has not been demonstrated. </w:t>
      </w:r>
      <w:r w:rsidRPr="00486924">
        <w:rPr>
          <w:rFonts w:ascii="Arial" w:hAnsi="Arial" w:cs="Arial"/>
          <w:b/>
          <w:bCs/>
        </w:rPr>
        <w:t xml:space="preserve">This internal inconsistency </w:t>
      </w:r>
      <w:r w:rsidR="00FD17D5">
        <w:rPr>
          <w:rFonts w:ascii="Arial" w:hAnsi="Arial" w:cs="Arial"/>
          <w:b/>
          <w:bCs/>
        </w:rPr>
        <w:t xml:space="preserve">demonstrates </w:t>
      </w:r>
      <w:r w:rsidR="009F2BC4">
        <w:rPr>
          <w:rFonts w:ascii="Arial" w:hAnsi="Arial" w:cs="Arial"/>
          <w:b/>
          <w:bCs/>
        </w:rPr>
        <w:t>that the dossier</w:t>
      </w:r>
      <w:r w:rsidR="00DE21E9">
        <w:rPr>
          <w:rFonts w:ascii="Arial" w:hAnsi="Arial" w:cs="Arial"/>
          <w:b/>
          <w:bCs/>
        </w:rPr>
        <w:t xml:space="preserve"> as submitted </w:t>
      </w:r>
      <w:r w:rsidR="009F2BC4">
        <w:rPr>
          <w:rFonts w:ascii="Arial" w:hAnsi="Arial" w:cs="Arial"/>
          <w:b/>
          <w:bCs/>
        </w:rPr>
        <w:t>does not</w:t>
      </w:r>
      <w:r w:rsidR="00DE21E9">
        <w:rPr>
          <w:rFonts w:ascii="Arial" w:hAnsi="Arial" w:cs="Arial"/>
          <w:b/>
          <w:bCs/>
        </w:rPr>
        <w:t xml:space="preserve"> support</w:t>
      </w:r>
      <w:r w:rsidR="00345D1E">
        <w:rPr>
          <w:rFonts w:ascii="Arial" w:hAnsi="Arial" w:cs="Arial"/>
          <w:b/>
          <w:bCs/>
        </w:rPr>
        <w:t xml:space="preserve"> that</w:t>
      </w:r>
      <w:r w:rsidRPr="00486924">
        <w:rPr>
          <w:rFonts w:ascii="Arial" w:hAnsi="Arial" w:cs="Arial"/>
          <w:b/>
          <w:bCs/>
        </w:rPr>
        <w:t xml:space="preserve"> the CL</w:t>
      </w:r>
      <w:r w:rsidR="00A239A6">
        <w:rPr>
          <w:rFonts w:ascii="Arial" w:hAnsi="Arial" w:cs="Arial"/>
          <w:b/>
          <w:bCs/>
        </w:rPr>
        <w:t>H</w:t>
      </w:r>
      <w:r w:rsidRPr="00486924">
        <w:rPr>
          <w:rFonts w:ascii="Arial" w:hAnsi="Arial" w:cs="Arial"/>
          <w:b/>
          <w:bCs/>
        </w:rPr>
        <w:t xml:space="preserve"> endocrine disruptor Category 1 threshold </w:t>
      </w:r>
      <w:r w:rsidR="00345D1E">
        <w:rPr>
          <w:rFonts w:ascii="Arial" w:hAnsi="Arial" w:cs="Arial"/>
          <w:b/>
          <w:bCs/>
        </w:rPr>
        <w:t>has been</w:t>
      </w:r>
      <w:r w:rsidRPr="00486924">
        <w:rPr>
          <w:rFonts w:ascii="Arial" w:hAnsi="Arial" w:cs="Arial"/>
          <w:b/>
          <w:bCs/>
        </w:rPr>
        <w:t xml:space="preserve"> met, particularly given that Category 1 requires endocrine activity, adversity, and a biologically plausible link.</w:t>
      </w:r>
    </w:p>
    <w:p w14:paraId="1A3F2774" w14:textId="77777777" w:rsidR="002E0D7C" w:rsidRDefault="002E0D7C" w:rsidP="002E0D7C">
      <w:pPr>
        <w:spacing w:line="259" w:lineRule="auto"/>
        <w:rPr>
          <w:rFonts w:ascii="Arial" w:hAnsi="Arial" w:cs="Arial"/>
        </w:rPr>
      </w:pPr>
    </w:p>
    <w:p w14:paraId="77F5E321" w14:textId="0D94A99B" w:rsidR="00187CD8" w:rsidRPr="00026CF0" w:rsidRDefault="002E0D7C" w:rsidP="00863C52">
      <w:pPr>
        <w:spacing w:after="240" w:line="259" w:lineRule="auto"/>
        <w:rPr>
          <w:rFonts w:ascii="Arial" w:hAnsi="Arial" w:cs="Arial"/>
          <w:color w:val="2F5496" w:themeColor="accent1" w:themeShade="BF"/>
        </w:rPr>
      </w:pPr>
      <w:r w:rsidRPr="00026CF0">
        <w:rPr>
          <w:rFonts w:ascii="Arial" w:hAnsi="Arial" w:cs="Arial"/>
          <w:b/>
          <w:bCs/>
          <w:color w:val="2F5496" w:themeColor="accent1" w:themeShade="BF"/>
        </w:rPr>
        <w:t xml:space="preserve">Failure to </w:t>
      </w:r>
      <w:r w:rsidR="00863C52" w:rsidRPr="00026CF0">
        <w:rPr>
          <w:rFonts w:ascii="Arial" w:hAnsi="Arial" w:cs="Arial"/>
          <w:b/>
          <w:bCs/>
          <w:color w:val="2F5496" w:themeColor="accent1" w:themeShade="BF"/>
        </w:rPr>
        <w:t>include study limitations</w:t>
      </w:r>
      <w:r w:rsidRPr="00026CF0">
        <w:rPr>
          <w:rFonts w:ascii="Arial" w:hAnsi="Arial" w:cs="Arial"/>
          <w:b/>
          <w:bCs/>
          <w:color w:val="2F5496" w:themeColor="accent1" w:themeShade="BF"/>
        </w:rPr>
        <w:t xml:space="preserve"> </w:t>
      </w:r>
      <w:r w:rsidR="00C76B0D" w:rsidRPr="002B3104">
        <w:rPr>
          <w:rFonts w:ascii="Arial" w:hAnsi="Arial" w:cs="Arial"/>
          <w:b/>
          <w:bCs/>
          <w:color w:val="2F5496" w:themeColor="accent1" w:themeShade="BF"/>
        </w:rPr>
        <w:t>(CLH Report Section 11</w:t>
      </w:r>
      <w:r w:rsidR="00CB5A15">
        <w:rPr>
          <w:rFonts w:ascii="Arial" w:hAnsi="Arial" w:cs="Arial"/>
          <w:b/>
          <w:bCs/>
          <w:color w:val="2F5496" w:themeColor="accent1" w:themeShade="BF"/>
        </w:rPr>
        <w:t>.1.2.2.1</w:t>
      </w:r>
      <w:r w:rsidR="00C76B0D" w:rsidRPr="002B3104">
        <w:rPr>
          <w:rFonts w:ascii="Arial" w:hAnsi="Arial" w:cs="Arial"/>
          <w:b/>
          <w:bCs/>
          <w:color w:val="2F5496" w:themeColor="accent1" w:themeShade="BF"/>
        </w:rPr>
        <w:t>)</w:t>
      </w:r>
      <w:r w:rsidRPr="00026CF0">
        <w:rPr>
          <w:rFonts w:ascii="Arial" w:hAnsi="Arial" w:cs="Arial"/>
          <w:b/>
          <w:bCs/>
          <w:color w:val="2F5496" w:themeColor="accent1" w:themeShade="BF"/>
        </w:rPr>
        <w:t xml:space="preserve"> </w:t>
      </w:r>
    </w:p>
    <w:p w14:paraId="575E69FA" w14:textId="0A5DE9F4" w:rsidR="00DE2F3F" w:rsidRPr="00D542EF" w:rsidRDefault="00BA45A6" w:rsidP="00D542EF">
      <w:pPr>
        <w:pStyle w:val="ListParagraph"/>
        <w:numPr>
          <w:ilvl w:val="0"/>
          <w:numId w:val="7"/>
        </w:numPr>
        <w:spacing w:line="259" w:lineRule="auto"/>
        <w:rPr>
          <w:rFonts w:ascii="Arial" w:hAnsi="Arial" w:cs="Arial"/>
        </w:rPr>
      </w:pPr>
      <w:r>
        <w:rPr>
          <w:rFonts w:ascii="Arial" w:hAnsi="Arial" w:cs="Arial"/>
        </w:rPr>
        <w:t>On page 139</w:t>
      </w:r>
      <w:r w:rsidR="000F65A1">
        <w:rPr>
          <w:rFonts w:ascii="Arial" w:hAnsi="Arial" w:cs="Arial"/>
        </w:rPr>
        <w:t xml:space="preserve">, the </w:t>
      </w:r>
      <w:r w:rsidR="003568B6">
        <w:rPr>
          <w:rFonts w:ascii="Arial" w:hAnsi="Arial" w:cs="Arial"/>
        </w:rPr>
        <w:t>CLH report</w:t>
      </w:r>
      <w:r w:rsidR="000F65A1">
        <w:rPr>
          <w:rFonts w:ascii="Arial" w:hAnsi="Arial" w:cs="Arial"/>
        </w:rPr>
        <w:t xml:space="preserve"> </w:t>
      </w:r>
      <w:r w:rsidR="00130182">
        <w:rPr>
          <w:rFonts w:ascii="Arial" w:hAnsi="Arial" w:cs="Arial"/>
        </w:rPr>
        <w:t>includes</w:t>
      </w:r>
      <w:r w:rsidR="00013F41">
        <w:rPr>
          <w:rFonts w:ascii="Arial" w:hAnsi="Arial" w:cs="Arial"/>
        </w:rPr>
        <w:t xml:space="preserve"> a statement that o</w:t>
      </w:r>
      <w:r w:rsidR="00C40072">
        <w:rPr>
          <w:rFonts w:ascii="Arial" w:hAnsi="Arial" w:cs="Arial"/>
        </w:rPr>
        <w:t>utlines</w:t>
      </w:r>
      <w:r w:rsidR="00130182">
        <w:rPr>
          <w:rFonts w:ascii="Arial" w:hAnsi="Arial" w:cs="Arial"/>
        </w:rPr>
        <w:t xml:space="preserve"> the strengths </w:t>
      </w:r>
      <w:r w:rsidR="006A5505">
        <w:rPr>
          <w:rFonts w:ascii="Arial" w:hAnsi="Arial" w:cs="Arial"/>
        </w:rPr>
        <w:t xml:space="preserve">of the included </w:t>
      </w:r>
      <w:r w:rsidR="002A3D9C">
        <w:rPr>
          <w:rFonts w:ascii="Arial" w:hAnsi="Arial" w:cs="Arial"/>
        </w:rPr>
        <w:t>studies</w:t>
      </w:r>
      <w:r w:rsidR="00430E4A">
        <w:rPr>
          <w:rFonts w:ascii="Arial" w:hAnsi="Arial" w:cs="Arial"/>
        </w:rPr>
        <w:t>;</w:t>
      </w:r>
      <w:r w:rsidR="00C62DF7">
        <w:rPr>
          <w:rFonts w:ascii="Arial" w:hAnsi="Arial" w:cs="Arial"/>
        </w:rPr>
        <w:t xml:space="preserve"> </w:t>
      </w:r>
      <w:r w:rsidR="00C36DEC">
        <w:rPr>
          <w:rFonts w:ascii="Arial" w:hAnsi="Arial" w:cs="Arial"/>
        </w:rPr>
        <w:t>however,</w:t>
      </w:r>
      <w:r w:rsidR="00C62DF7">
        <w:rPr>
          <w:rFonts w:ascii="Arial" w:hAnsi="Arial" w:cs="Arial"/>
        </w:rPr>
        <w:t xml:space="preserve"> </w:t>
      </w:r>
      <w:r w:rsidR="00E03D78" w:rsidRPr="00E03D78">
        <w:rPr>
          <w:rFonts w:ascii="Arial" w:hAnsi="Arial" w:cs="Arial"/>
        </w:rPr>
        <w:t>major limitations</w:t>
      </w:r>
      <w:r w:rsidR="001B5933">
        <w:rPr>
          <w:rFonts w:ascii="Arial" w:hAnsi="Arial" w:cs="Arial"/>
        </w:rPr>
        <w:t xml:space="preserve"> are omitted</w:t>
      </w:r>
      <w:r w:rsidR="005270F8">
        <w:rPr>
          <w:rFonts w:ascii="Arial" w:hAnsi="Arial" w:cs="Arial"/>
        </w:rPr>
        <w:t xml:space="preserve"> (Guichon et al</w:t>
      </w:r>
      <w:r w:rsidR="00E03D78">
        <w:rPr>
          <w:rFonts w:ascii="Arial" w:hAnsi="Arial" w:cs="Arial"/>
        </w:rPr>
        <w:t>.</w:t>
      </w:r>
      <w:r w:rsidR="005270F8">
        <w:rPr>
          <w:rFonts w:ascii="Arial" w:hAnsi="Arial" w:cs="Arial"/>
        </w:rPr>
        <w:t xml:space="preserve"> </w:t>
      </w:r>
      <w:r w:rsidR="003342E1">
        <w:rPr>
          <w:rFonts w:ascii="Arial" w:hAnsi="Arial" w:cs="Arial"/>
        </w:rPr>
        <w:t>2024</w:t>
      </w:r>
      <w:r w:rsidR="0028007E">
        <w:rPr>
          <w:rFonts w:ascii="Arial" w:hAnsi="Arial" w:cs="Arial"/>
        </w:rPr>
        <w:t>b</w:t>
      </w:r>
      <w:r w:rsidR="003342E1">
        <w:rPr>
          <w:rFonts w:ascii="Arial" w:hAnsi="Arial" w:cs="Arial"/>
        </w:rPr>
        <w:t>).</w:t>
      </w:r>
      <w:r w:rsidR="0037641B">
        <w:rPr>
          <w:rFonts w:ascii="Arial" w:hAnsi="Arial" w:cs="Arial"/>
        </w:rPr>
        <w:t xml:space="preserve"> </w:t>
      </w:r>
      <w:r w:rsidR="00A518AE">
        <w:rPr>
          <w:rFonts w:ascii="Arial" w:hAnsi="Arial" w:cs="Arial"/>
        </w:rPr>
        <w:t xml:space="preserve">(i). </w:t>
      </w:r>
      <w:r w:rsidR="0037641B" w:rsidRPr="0037641B">
        <w:rPr>
          <w:rFonts w:ascii="Arial" w:hAnsi="Arial" w:cs="Arial"/>
        </w:rPr>
        <w:t xml:space="preserve">The </w:t>
      </w:r>
      <w:r w:rsidR="00AE1FC0" w:rsidRPr="00AE1FC0">
        <w:rPr>
          <w:rFonts w:ascii="Arial" w:hAnsi="Arial" w:cs="Arial"/>
        </w:rPr>
        <w:t>Maternal–Infant Research on Environmental Chemicals</w:t>
      </w:r>
      <w:r w:rsidR="00AE1FC0">
        <w:rPr>
          <w:rFonts w:ascii="Arial" w:hAnsi="Arial" w:cs="Arial"/>
        </w:rPr>
        <w:t xml:space="preserve"> (</w:t>
      </w:r>
      <w:r w:rsidR="0037641B" w:rsidRPr="0037641B">
        <w:rPr>
          <w:rFonts w:ascii="Arial" w:hAnsi="Arial" w:cs="Arial"/>
        </w:rPr>
        <w:t>MIREC</w:t>
      </w:r>
      <w:r w:rsidR="00AE1FC0">
        <w:rPr>
          <w:rFonts w:ascii="Arial" w:hAnsi="Arial" w:cs="Arial"/>
        </w:rPr>
        <w:t>)</w:t>
      </w:r>
      <w:r w:rsidR="0037641B" w:rsidRPr="0037641B">
        <w:rPr>
          <w:rFonts w:ascii="Arial" w:hAnsi="Arial" w:cs="Arial"/>
        </w:rPr>
        <w:t xml:space="preserve"> </w:t>
      </w:r>
      <w:r w:rsidR="0037641B" w:rsidRPr="0037641B">
        <w:rPr>
          <w:rFonts w:ascii="Arial" w:hAnsi="Arial" w:cs="Arial"/>
        </w:rPr>
        <w:lastRenderedPageBreak/>
        <w:t>study did not control for IQ testers</w:t>
      </w:r>
      <w:r w:rsidR="000941DC">
        <w:rPr>
          <w:rFonts w:ascii="Arial" w:hAnsi="Arial" w:cs="Arial"/>
        </w:rPr>
        <w:t xml:space="preserve"> - </w:t>
      </w:r>
      <w:r w:rsidR="0037641B" w:rsidRPr="0037641B">
        <w:rPr>
          <w:rFonts w:ascii="Arial" w:hAnsi="Arial" w:cs="Arial"/>
        </w:rPr>
        <w:t>six different IQ testers</w:t>
      </w:r>
      <w:r w:rsidR="000941DC">
        <w:rPr>
          <w:rFonts w:ascii="Arial" w:hAnsi="Arial" w:cs="Arial"/>
        </w:rPr>
        <w:t xml:space="preserve"> </w:t>
      </w:r>
      <w:r w:rsidR="00E56A99">
        <w:rPr>
          <w:rFonts w:ascii="Arial" w:hAnsi="Arial" w:cs="Arial"/>
        </w:rPr>
        <w:t>were</w:t>
      </w:r>
      <w:r w:rsidR="000941DC">
        <w:rPr>
          <w:rFonts w:ascii="Arial" w:hAnsi="Arial" w:cs="Arial"/>
        </w:rPr>
        <w:t xml:space="preserve"> employed</w:t>
      </w:r>
      <w:r w:rsidR="0037641B" w:rsidRPr="0037641B">
        <w:rPr>
          <w:rFonts w:ascii="Arial" w:hAnsi="Arial" w:cs="Arial"/>
        </w:rPr>
        <w:t xml:space="preserve">, each assigned to a different city. </w:t>
      </w:r>
      <w:r w:rsidR="00430E4A">
        <w:rPr>
          <w:rFonts w:ascii="Arial" w:hAnsi="Arial" w:cs="Arial"/>
        </w:rPr>
        <w:t>Hence</w:t>
      </w:r>
      <w:r w:rsidR="0037641B" w:rsidRPr="0037641B">
        <w:rPr>
          <w:rFonts w:ascii="Arial" w:hAnsi="Arial" w:cs="Arial"/>
        </w:rPr>
        <w:t xml:space="preserve">, it is impossible to separate the effect of fluoride from the impact of </w:t>
      </w:r>
      <w:proofErr w:type="gramStart"/>
      <w:r w:rsidR="0037641B" w:rsidRPr="0037641B">
        <w:rPr>
          <w:rFonts w:ascii="Arial" w:hAnsi="Arial" w:cs="Arial"/>
        </w:rPr>
        <w:t>the CITY</w:t>
      </w:r>
      <w:proofErr w:type="gramEnd"/>
      <w:r w:rsidR="0037641B" w:rsidRPr="0037641B">
        <w:rPr>
          <w:rFonts w:ascii="Arial" w:hAnsi="Arial" w:cs="Arial"/>
        </w:rPr>
        <w:t xml:space="preserve"> and IQ testers. </w:t>
      </w:r>
      <w:r w:rsidR="004B6F7D">
        <w:rPr>
          <w:rFonts w:ascii="Arial" w:hAnsi="Arial" w:cs="Arial"/>
        </w:rPr>
        <w:t xml:space="preserve">Site-specific IQ data included in the master’s thesis (Green 2018) that formed the basis of Green et al. (2019) indicated very large differences in mean IQ among those 6 Canadian cities, suggesting poor inter-examiner reliability. </w:t>
      </w:r>
      <w:r w:rsidR="00A518AE">
        <w:rPr>
          <w:rFonts w:ascii="Arial" w:hAnsi="Arial" w:cs="Arial"/>
        </w:rPr>
        <w:t xml:space="preserve">(ii). </w:t>
      </w:r>
      <w:r w:rsidR="00DE2F3F" w:rsidRPr="00DE2F3F">
        <w:rPr>
          <w:rFonts w:ascii="Arial" w:hAnsi="Arial" w:cs="Arial"/>
        </w:rPr>
        <w:t xml:space="preserve">The </w:t>
      </w:r>
      <w:r w:rsidR="007460E1" w:rsidRPr="007460E1">
        <w:rPr>
          <w:rFonts w:ascii="Arial" w:hAnsi="Arial" w:cs="Arial"/>
        </w:rPr>
        <w:t>Early Life Exposures in Mexico to Environmental Toxicants</w:t>
      </w:r>
      <w:r w:rsidR="007460E1">
        <w:rPr>
          <w:rFonts w:ascii="Arial" w:hAnsi="Arial" w:cs="Arial"/>
        </w:rPr>
        <w:t xml:space="preserve"> (</w:t>
      </w:r>
      <w:r w:rsidR="00DE2F3F" w:rsidRPr="00DE2F3F">
        <w:rPr>
          <w:rFonts w:ascii="Arial" w:hAnsi="Arial" w:cs="Arial"/>
        </w:rPr>
        <w:t>ELEMENT</w:t>
      </w:r>
      <w:r w:rsidR="007460E1">
        <w:rPr>
          <w:rFonts w:ascii="Arial" w:hAnsi="Arial" w:cs="Arial"/>
        </w:rPr>
        <w:t>)</w:t>
      </w:r>
      <w:r w:rsidR="00DE2F3F" w:rsidRPr="00DE2F3F">
        <w:rPr>
          <w:rFonts w:ascii="Arial" w:hAnsi="Arial" w:cs="Arial"/>
        </w:rPr>
        <w:t xml:space="preserve"> study has several other limitations</w:t>
      </w:r>
      <w:r w:rsidR="00DE2F3F">
        <w:rPr>
          <w:rFonts w:ascii="Arial" w:hAnsi="Arial" w:cs="Arial"/>
        </w:rPr>
        <w:t xml:space="preserve"> that are not discussed</w:t>
      </w:r>
      <w:r w:rsidR="006F7DED">
        <w:rPr>
          <w:rFonts w:ascii="Arial" w:hAnsi="Arial" w:cs="Arial"/>
        </w:rPr>
        <w:t>,</w:t>
      </w:r>
      <w:r w:rsidR="00DE2F3F" w:rsidRPr="00DE2F3F">
        <w:rPr>
          <w:rFonts w:ascii="Arial" w:hAnsi="Arial" w:cs="Arial"/>
        </w:rPr>
        <w:t xml:space="preserve"> </w:t>
      </w:r>
      <w:r w:rsidR="00BD4A31">
        <w:rPr>
          <w:rFonts w:ascii="Arial" w:hAnsi="Arial" w:cs="Arial"/>
        </w:rPr>
        <w:t xml:space="preserve">including </w:t>
      </w:r>
      <w:r w:rsidR="003E50BC">
        <w:rPr>
          <w:rFonts w:ascii="Arial" w:hAnsi="Arial" w:cs="Arial"/>
        </w:rPr>
        <w:t xml:space="preserve">failure to meet standards for acceptable quality as outlined by the US Environmental Protection Agency </w:t>
      </w:r>
      <w:r w:rsidR="00DE2F3F" w:rsidRPr="00D542EF">
        <w:rPr>
          <w:rFonts w:ascii="Arial" w:hAnsi="Arial" w:cs="Arial"/>
        </w:rPr>
        <w:t xml:space="preserve">(Kumar et al. 2025). </w:t>
      </w:r>
      <w:r w:rsidR="00A518AE">
        <w:rPr>
          <w:rFonts w:ascii="Arial" w:hAnsi="Arial" w:cs="Arial"/>
        </w:rPr>
        <w:t xml:space="preserve">(iii). </w:t>
      </w:r>
      <w:r w:rsidR="00B53C6E">
        <w:rPr>
          <w:rFonts w:ascii="Arial" w:hAnsi="Arial" w:cs="Arial"/>
        </w:rPr>
        <w:t>The Goodman et al.</w:t>
      </w:r>
      <w:r w:rsidR="00A529E8">
        <w:rPr>
          <w:rFonts w:ascii="Arial" w:hAnsi="Arial" w:cs="Arial"/>
        </w:rPr>
        <w:t xml:space="preserve"> (2022)</w:t>
      </w:r>
      <w:r w:rsidR="00B53C6E">
        <w:rPr>
          <w:rFonts w:ascii="Arial" w:hAnsi="Arial" w:cs="Arial"/>
        </w:rPr>
        <w:t xml:space="preserve"> study did not address the confounding impact of s</w:t>
      </w:r>
      <w:r w:rsidR="00DE2F3F" w:rsidRPr="00D542EF">
        <w:rPr>
          <w:rFonts w:ascii="Arial" w:hAnsi="Arial" w:cs="Arial"/>
        </w:rPr>
        <w:t>alt</w:t>
      </w:r>
      <w:r w:rsidR="00777504">
        <w:rPr>
          <w:rFonts w:ascii="Arial" w:hAnsi="Arial" w:cs="Arial"/>
        </w:rPr>
        <w:t>,</w:t>
      </w:r>
      <w:r w:rsidR="00DE2F3F" w:rsidRPr="00D542EF">
        <w:rPr>
          <w:rFonts w:ascii="Arial" w:hAnsi="Arial" w:cs="Arial"/>
        </w:rPr>
        <w:t xml:space="preserve"> </w:t>
      </w:r>
      <w:r w:rsidR="00B53C6E">
        <w:rPr>
          <w:rFonts w:ascii="Arial" w:hAnsi="Arial" w:cs="Arial"/>
        </w:rPr>
        <w:t>and</w:t>
      </w:r>
      <w:r w:rsidR="00C60697">
        <w:rPr>
          <w:rFonts w:ascii="Arial" w:hAnsi="Arial" w:cs="Arial"/>
        </w:rPr>
        <w:t xml:space="preserve"> it </w:t>
      </w:r>
      <w:r w:rsidR="00DE2F3F" w:rsidRPr="00D542EF">
        <w:rPr>
          <w:rFonts w:ascii="Arial" w:hAnsi="Arial" w:cs="Arial"/>
        </w:rPr>
        <w:t>raise</w:t>
      </w:r>
      <w:r w:rsidR="00C60697">
        <w:rPr>
          <w:rFonts w:ascii="Arial" w:hAnsi="Arial" w:cs="Arial"/>
        </w:rPr>
        <w:t>s</w:t>
      </w:r>
      <w:r w:rsidR="00DE2F3F" w:rsidRPr="00D542EF">
        <w:rPr>
          <w:rFonts w:ascii="Arial" w:hAnsi="Arial" w:cs="Arial"/>
        </w:rPr>
        <w:t xml:space="preserve"> concerns about the validity of spot maternal urinary fluoride as a long-term measure of fetal fluoride exposure, given the lack of agreement between urinary and plasma fluoride biomarkers</w:t>
      </w:r>
      <w:r w:rsidR="001E352E">
        <w:rPr>
          <w:rFonts w:ascii="Arial" w:hAnsi="Arial" w:cs="Arial"/>
        </w:rPr>
        <w:t xml:space="preserve"> (Thomas et al 2016</w:t>
      </w:r>
      <w:r w:rsidR="006F7DED">
        <w:rPr>
          <w:rFonts w:ascii="Arial" w:hAnsi="Arial" w:cs="Arial"/>
        </w:rPr>
        <w:t>).</w:t>
      </w:r>
      <w:r w:rsidR="00DE2F3F" w:rsidRPr="00D542EF">
        <w:rPr>
          <w:rFonts w:ascii="Arial" w:hAnsi="Arial" w:cs="Arial"/>
        </w:rPr>
        <w:t xml:space="preserve"> </w:t>
      </w:r>
    </w:p>
    <w:p w14:paraId="6D070702" w14:textId="43F1D86A" w:rsidR="0037641B" w:rsidRPr="0037641B" w:rsidRDefault="009D7E1B" w:rsidP="0037641B">
      <w:pPr>
        <w:pStyle w:val="ListParagraph"/>
        <w:numPr>
          <w:ilvl w:val="0"/>
          <w:numId w:val="7"/>
        </w:numPr>
        <w:spacing w:line="259" w:lineRule="auto"/>
        <w:rPr>
          <w:rFonts w:ascii="Arial" w:hAnsi="Arial" w:cs="Arial"/>
        </w:rPr>
      </w:pPr>
      <w:r>
        <w:rPr>
          <w:rFonts w:ascii="Arial" w:hAnsi="Arial" w:cs="Arial"/>
        </w:rPr>
        <w:t>On page 139</w:t>
      </w:r>
      <w:r w:rsidR="0067439F">
        <w:rPr>
          <w:rFonts w:ascii="Arial" w:hAnsi="Arial" w:cs="Arial"/>
        </w:rPr>
        <w:t>,</w:t>
      </w:r>
      <w:r>
        <w:rPr>
          <w:rFonts w:ascii="Arial" w:hAnsi="Arial" w:cs="Arial"/>
        </w:rPr>
        <w:t xml:space="preserve"> the </w:t>
      </w:r>
      <w:r w:rsidR="003568B6">
        <w:rPr>
          <w:rFonts w:ascii="Arial" w:hAnsi="Arial" w:cs="Arial"/>
        </w:rPr>
        <w:t>CLH report</w:t>
      </w:r>
      <w:r>
        <w:rPr>
          <w:rFonts w:ascii="Arial" w:hAnsi="Arial" w:cs="Arial"/>
        </w:rPr>
        <w:t xml:space="preserve"> also states that </w:t>
      </w:r>
      <w:r w:rsidR="00284EA8" w:rsidRPr="00284EA8">
        <w:rPr>
          <w:rFonts w:ascii="Arial" w:hAnsi="Arial" w:cs="Arial"/>
        </w:rPr>
        <w:t>“…</w:t>
      </w:r>
      <w:r w:rsidR="00284EA8" w:rsidRPr="00284EA8">
        <w:rPr>
          <w:rFonts w:ascii="Arial" w:hAnsi="Arial" w:cs="Arial"/>
          <w:i/>
          <w:iCs/>
        </w:rPr>
        <w:t>all the studies, except one (</w:t>
      </w:r>
      <w:proofErr w:type="spellStart"/>
      <w:r w:rsidR="00284EA8" w:rsidRPr="00284EA8">
        <w:rPr>
          <w:rFonts w:ascii="Arial" w:hAnsi="Arial" w:cs="Arial"/>
          <w:i/>
          <w:iCs/>
        </w:rPr>
        <w:t>Ibarluzea</w:t>
      </w:r>
      <w:proofErr w:type="spellEnd"/>
      <w:r w:rsidR="00284EA8" w:rsidRPr="00284EA8">
        <w:rPr>
          <w:rFonts w:ascii="Arial" w:hAnsi="Arial" w:cs="Arial"/>
          <w:i/>
          <w:iCs/>
        </w:rPr>
        <w:t xml:space="preserve"> et al. 2022), showed an association between developmental fluoride exposure and the impairment of the cognitive function in children.”</w:t>
      </w:r>
      <w:r w:rsidR="00436542">
        <w:rPr>
          <w:rFonts w:ascii="Arial" w:hAnsi="Arial" w:cs="Arial"/>
          <w:i/>
          <w:iCs/>
        </w:rPr>
        <w:t xml:space="preserve"> </w:t>
      </w:r>
      <w:r w:rsidR="00436542">
        <w:rPr>
          <w:rFonts w:ascii="Arial" w:hAnsi="Arial" w:cs="Arial"/>
        </w:rPr>
        <w:t>However</w:t>
      </w:r>
      <w:r w:rsidR="0067439F">
        <w:rPr>
          <w:rFonts w:ascii="Arial" w:hAnsi="Arial" w:cs="Arial"/>
        </w:rPr>
        <w:t>,</w:t>
      </w:r>
      <w:r w:rsidR="008F65EA">
        <w:rPr>
          <w:rFonts w:ascii="Arial" w:hAnsi="Arial" w:cs="Arial"/>
        </w:rPr>
        <w:t xml:space="preserve"> there is a failure to note that t</w:t>
      </w:r>
      <w:r w:rsidR="008F65EA" w:rsidRPr="008F65EA">
        <w:rPr>
          <w:rFonts w:ascii="Arial" w:hAnsi="Arial" w:cs="Arial"/>
        </w:rPr>
        <w:t>here are only four maternal urinary fluoride studies. I</w:t>
      </w:r>
      <w:r w:rsidR="002A0886">
        <w:rPr>
          <w:rFonts w:ascii="Arial" w:hAnsi="Arial" w:cs="Arial"/>
        </w:rPr>
        <w:t>t</w:t>
      </w:r>
      <w:r w:rsidR="008F65EA" w:rsidRPr="008F65EA">
        <w:rPr>
          <w:rFonts w:ascii="Arial" w:hAnsi="Arial" w:cs="Arial"/>
        </w:rPr>
        <w:t xml:space="preserve"> did not include Singh et al </w:t>
      </w:r>
      <w:r w:rsidR="002A0886">
        <w:rPr>
          <w:rFonts w:ascii="Arial" w:hAnsi="Arial" w:cs="Arial"/>
        </w:rPr>
        <w:t>(</w:t>
      </w:r>
      <w:r w:rsidR="008F65EA" w:rsidRPr="008F65EA">
        <w:rPr>
          <w:rFonts w:ascii="Arial" w:hAnsi="Arial" w:cs="Arial"/>
        </w:rPr>
        <w:t>2025</w:t>
      </w:r>
      <w:r w:rsidR="002A0886">
        <w:rPr>
          <w:rFonts w:ascii="Arial" w:hAnsi="Arial" w:cs="Arial"/>
        </w:rPr>
        <w:t>)</w:t>
      </w:r>
      <w:r w:rsidR="008F65EA" w:rsidRPr="008F65EA">
        <w:rPr>
          <w:rFonts w:ascii="Arial" w:hAnsi="Arial" w:cs="Arial"/>
        </w:rPr>
        <w:t xml:space="preserve"> from Bangladesh because the authors constructed a cohort </w:t>
      </w:r>
      <w:r w:rsidR="002A0886">
        <w:rPr>
          <w:rFonts w:ascii="Arial" w:hAnsi="Arial" w:cs="Arial"/>
        </w:rPr>
        <w:t xml:space="preserve">study </w:t>
      </w:r>
      <w:r w:rsidR="008F65EA" w:rsidRPr="008F65EA">
        <w:rPr>
          <w:rFonts w:ascii="Arial" w:hAnsi="Arial" w:cs="Arial"/>
        </w:rPr>
        <w:t xml:space="preserve">from a </w:t>
      </w:r>
      <w:r w:rsidR="002A0886">
        <w:rPr>
          <w:rFonts w:ascii="Arial" w:hAnsi="Arial" w:cs="Arial"/>
        </w:rPr>
        <w:t xml:space="preserve">randomized </w:t>
      </w:r>
      <w:r w:rsidR="008F65EA" w:rsidRPr="008F65EA">
        <w:rPr>
          <w:rFonts w:ascii="Arial" w:hAnsi="Arial" w:cs="Arial"/>
        </w:rPr>
        <w:t xml:space="preserve">clinical </w:t>
      </w:r>
      <w:r w:rsidR="002A0886">
        <w:rPr>
          <w:rFonts w:ascii="Arial" w:hAnsi="Arial" w:cs="Arial"/>
        </w:rPr>
        <w:t>trial</w:t>
      </w:r>
      <w:r w:rsidR="00A51281">
        <w:rPr>
          <w:rFonts w:ascii="Arial" w:hAnsi="Arial" w:cs="Arial"/>
        </w:rPr>
        <w:t>. Neither</w:t>
      </w:r>
      <w:r w:rsidR="008F65EA" w:rsidRPr="008F65EA">
        <w:rPr>
          <w:rFonts w:ascii="Arial" w:hAnsi="Arial" w:cs="Arial"/>
        </w:rPr>
        <w:t xml:space="preserve"> </w:t>
      </w:r>
      <w:proofErr w:type="spellStart"/>
      <w:r w:rsidR="008F65EA" w:rsidRPr="008F65EA">
        <w:rPr>
          <w:rFonts w:ascii="Arial" w:hAnsi="Arial" w:cs="Arial"/>
        </w:rPr>
        <w:t>Ibarluzea</w:t>
      </w:r>
      <w:proofErr w:type="spellEnd"/>
      <w:r w:rsidR="008F65EA" w:rsidRPr="008F65EA">
        <w:rPr>
          <w:rFonts w:ascii="Arial" w:hAnsi="Arial" w:cs="Arial"/>
        </w:rPr>
        <w:t xml:space="preserve"> </w:t>
      </w:r>
      <w:r w:rsidR="008F65EA">
        <w:rPr>
          <w:rFonts w:ascii="Arial" w:hAnsi="Arial" w:cs="Arial"/>
        </w:rPr>
        <w:t xml:space="preserve">et al. </w:t>
      </w:r>
      <w:r w:rsidR="008F65EA" w:rsidRPr="008F65EA">
        <w:rPr>
          <w:rFonts w:ascii="Arial" w:hAnsi="Arial" w:cs="Arial"/>
        </w:rPr>
        <w:t>nor the Grandjean</w:t>
      </w:r>
      <w:r w:rsidR="008F65EA">
        <w:rPr>
          <w:rFonts w:ascii="Arial" w:hAnsi="Arial" w:cs="Arial"/>
        </w:rPr>
        <w:t xml:space="preserve"> et al.</w:t>
      </w:r>
      <w:r w:rsidR="008F65EA" w:rsidRPr="008F65EA">
        <w:rPr>
          <w:rFonts w:ascii="Arial" w:hAnsi="Arial" w:cs="Arial"/>
        </w:rPr>
        <w:t xml:space="preserve"> stud</w:t>
      </w:r>
      <w:r w:rsidR="008F65EA">
        <w:rPr>
          <w:rFonts w:ascii="Arial" w:hAnsi="Arial" w:cs="Arial"/>
        </w:rPr>
        <w:t>ies</w:t>
      </w:r>
      <w:r w:rsidR="008F65EA" w:rsidRPr="008F65EA">
        <w:rPr>
          <w:rFonts w:ascii="Arial" w:hAnsi="Arial" w:cs="Arial"/>
        </w:rPr>
        <w:t xml:space="preserve"> showed an association</w:t>
      </w:r>
      <w:r w:rsidR="00B838C6">
        <w:rPr>
          <w:rFonts w:ascii="Arial" w:hAnsi="Arial" w:cs="Arial"/>
        </w:rPr>
        <w:t xml:space="preserve"> between fluoride and</w:t>
      </w:r>
      <w:r w:rsidR="009C67A4">
        <w:rPr>
          <w:rFonts w:ascii="Arial" w:hAnsi="Arial" w:cs="Arial"/>
        </w:rPr>
        <w:t xml:space="preserve"> impaired cognitive function</w:t>
      </w:r>
      <w:r w:rsidR="008F65EA" w:rsidRPr="008F65EA">
        <w:rPr>
          <w:rFonts w:ascii="Arial" w:hAnsi="Arial" w:cs="Arial"/>
        </w:rPr>
        <w:t>.</w:t>
      </w:r>
    </w:p>
    <w:p w14:paraId="7AB66E8E" w14:textId="664A04AA" w:rsidR="00BA45A6" w:rsidRPr="006F7635" w:rsidRDefault="009C67A4" w:rsidP="006F7635">
      <w:pPr>
        <w:pStyle w:val="ListParagraph"/>
        <w:numPr>
          <w:ilvl w:val="0"/>
          <w:numId w:val="7"/>
        </w:numPr>
        <w:spacing w:line="259" w:lineRule="auto"/>
        <w:rPr>
          <w:rFonts w:ascii="Arial" w:hAnsi="Arial" w:cs="Arial"/>
        </w:rPr>
      </w:pPr>
      <w:r>
        <w:rPr>
          <w:rFonts w:ascii="Arial" w:hAnsi="Arial" w:cs="Arial"/>
        </w:rPr>
        <w:t>O</w:t>
      </w:r>
      <w:r w:rsidR="006C0932">
        <w:rPr>
          <w:rFonts w:ascii="Arial" w:hAnsi="Arial" w:cs="Arial"/>
        </w:rPr>
        <w:t xml:space="preserve">n page 139 the </w:t>
      </w:r>
      <w:r w:rsidR="003568B6">
        <w:rPr>
          <w:rFonts w:ascii="Arial" w:hAnsi="Arial" w:cs="Arial"/>
        </w:rPr>
        <w:t>CLH report</w:t>
      </w:r>
      <w:r w:rsidR="006C0932">
        <w:rPr>
          <w:rFonts w:ascii="Arial" w:hAnsi="Arial" w:cs="Arial"/>
        </w:rPr>
        <w:t xml:space="preserve"> further states that </w:t>
      </w:r>
      <w:r w:rsidR="006C0932" w:rsidRPr="00284EA8">
        <w:rPr>
          <w:rFonts w:ascii="Arial" w:hAnsi="Arial" w:cs="Arial"/>
        </w:rPr>
        <w:t>“</w:t>
      </w:r>
      <w:r w:rsidR="00177687" w:rsidRPr="00177687">
        <w:rPr>
          <w:rFonts w:ascii="Arial" w:hAnsi="Arial" w:cs="Arial"/>
          <w:i/>
          <w:iCs/>
        </w:rPr>
        <w:t xml:space="preserve">The association between prenatal fluoride exposure and IQ was significant. The studies also indicated that the effects on IQ of prenatal fluoride exposure were different among sex. Boys were more sensitive to the fluoride exposure than girls in most of the studies (Green et al. 2019, Goodman et al. 2022a, </w:t>
      </w:r>
      <w:proofErr w:type="spellStart"/>
      <w:r w:rsidR="00177687" w:rsidRPr="00177687">
        <w:rPr>
          <w:rFonts w:ascii="Arial" w:hAnsi="Arial" w:cs="Arial"/>
          <w:i/>
          <w:iCs/>
        </w:rPr>
        <w:t>Farmus</w:t>
      </w:r>
      <w:proofErr w:type="spellEnd"/>
      <w:r w:rsidR="00177687" w:rsidRPr="00177687">
        <w:rPr>
          <w:rFonts w:ascii="Arial" w:hAnsi="Arial" w:cs="Arial"/>
          <w:i/>
          <w:iCs/>
        </w:rPr>
        <w:t xml:space="preserve"> et al. 2021, Cantoral et al. 2021).</w:t>
      </w:r>
      <w:r w:rsidR="00177687">
        <w:rPr>
          <w:rFonts w:ascii="Arial" w:hAnsi="Arial" w:cs="Arial"/>
          <w:i/>
          <w:iCs/>
        </w:rPr>
        <w:t xml:space="preserve">” </w:t>
      </w:r>
      <w:r w:rsidR="00177687">
        <w:rPr>
          <w:rFonts w:ascii="Arial" w:hAnsi="Arial" w:cs="Arial"/>
        </w:rPr>
        <w:t xml:space="preserve">However, </w:t>
      </w:r>
      <w:r w:rsidR="00C22F27">
        <w:rPr>
          <w:rFonts w:ascii="Arial" w:hAnsi="Arial" w:cs="Arial"/>
        </w:rPr>
        <w:t>t</w:t>
      </w:r>
      <w:r w:rsidR="009F3F19" w:rsidRPr="009F3F19">
        <w:rPr>
          <w:rFonts w:ascii="Arial" w:hAnsi="Arial" w:cs="Arial"/>
        </w:rPr>
        <w:t>he MIREC and ELEMENT studies show internal inconsistency and lack external validity. Both are based on convenience sampling. The differential effect by sex reported in the Green et al.</w:t>
      </w:r>
      <w:r w:rsidR="00A529E8">
        <w:rPr>
          <w:rFonts w:ascii="Arial" w:hAnsi="Arial" w:cs="Arial"/>
        </w:rPr>
        <w:t xml:space="preserve"> (2019)</w:t>
      </w:r>
      <w:r w:rsidR="009F3F19" w:rsidRPr="009F3F19">
        <w:rPr>
          <w:rFonts w:ascii="Arial" w:hAnsi="Arial" w:cs="Arial"/>
        </w:rPr>
        <w:t xml:space="preserve"> paper is contradicted by </w:t>
      </w:r>
      <w:proofErr w:type="gramStart"/>
      <w:r w:rsidR="009F3F19" w:rsidRPr="009F3F19">
        <w:rPr>
          <w:rFonts w:ascii="Arial" w:hAnsi="Arial" w:cs="Arial"/>
        </w:rPr>
        <w:t>Till</w:t>
      </w:r>
      <w:proofErr w:type="gramEnd"/>
      <w:r w:rsidR="009F3F19" w:rsidRPr="009F3F19">
        <w:rPr>
          <w:rFonts w:ascii="Arial" w:hAnsi="Arial" w:cs="Arial"/>
        </w:rPr>
        <w:t xml:space="preserve"> et al.</w:t>
      </w:r>
      <w:r w:rsidR="00A529E8">
        <w:rPr>
          <w:rFonts w:ascii="Arial" w:hAnsi="Arial" w:cs="Arial"/>
        </w:rPr>
        <w:t xml:space="preserve"> (2020)</w:t>
      </w:r>
      <w:r w:rsidR="009F3F19" w:rsidRPr="009F3F19">
        <w:rPr>
          <w:rFonts w:ascii="Arial" w:hAnsi="Arial" w:cs="Arial"/>
        </w:rPr>
        <w:t xml:space="preserve"> and </w:t>
      </w:r>
      <w:proofErr w:type="spellStart"/>
      <w:r w:rsidR="009F3F19" w:rsidRPr="009F3F19">
        <w:rPr>
          <w:rFonts w:ascii="Arial" w:hAnsi="Arial" w:cs="Arial"/>
        </w:rPr>
        <w:t>Farmus</w:t>
      </w:r>
      <w:proofErr w:type="spellEnd"/>
      <w:r w:rsidR="009F3F19" w:rsidRPr="009F3F19">
        <w:rPr>
          <w:rFonts w:ascii="Arial" w:hAnsi="Arial" w:cs="Arial"/>
        </w:rPr>
        <w:t xml:space="preserve"> et al</w:t>
      </w:r>
      <w:r w:rsidR="00A529E8">
        <w:rPr>
          <w:rFonts w:ascii="Arial" w:hAnsi="Arial" w:cs="Arial"/>
        </w:rPr>
        <w:t>. (2022)</w:t>
      </w:r>
      <w:r w:rsidR="00B92CAA">
        <w:rPr>
          <w:rFonts w:ascii="Arial" w:hAnsi="Arial" w:cs="Arial"/>
        </w:rPr>
        <w:t xml:space="preserve"> which did not</w:t>
      </w:r>
      <w:r w:rsidR="009F3F19" w:rsidRPr="009F3F19">
        <w:rPr>
          <w:rFonts w:ascii="Arial" w:hAnsi="Arial" w:cs="Arial"/>
        </w:rPr>
        <w:t xml:space="preserve"> observe</w:t>
      </w:r>
      <w:r w:rsidR="00B92CAA">
        <w:rPr>
          <w:rFonts w:ascii="Arial" w:hAnsi="Arial" w:cs="Arial"/>
        </w:rPr>
        <w:t xml:space="preserve"> these effects</w:t>
      </w:r>
      <w:r w:rsidR="009F3F19" w:rsidRPr="009F3F19">
        <w:rPr>
          <w:rFonts w:ascii="Arial" w:hAnsi="Arial" w:cs="Arial"/>
        </w:rPr>
        <w:t xml:space="preserve"> in any of the other cohort studies. </w:t>
      </w:r>
    </w:p>
    <w:p w14:paraId="232E0ADE" w14:textId="77777777" w:rsidR="000F65A1" w:rsidRDefault="000F65A1" w:rsidP="00E21A48">
      <w:pPr>
        <w:spacing w:after="160" w:line="259" w:lineRule="auto"/>
        <w:rPr>
          <w:rFonts w:ascii="Arial" w:hAnsi="Arial" w:cs="Arial"/>
          <w:b/>
          <w:bCs/>
        </w:rPr>
      </w:pPr>
    </w:p>
    <w:p w14:paraId="2DDA744B" w14:textId="031E37CF" w:rsidR="008A015D" w:rsidRDefault="00AF1FA6" w:rsidP="008A015D">
      <w:pPr>
        <w:spacing w:after="160" w:line="259" w:lineRule="auto"/>
        <w:rPr>
          <w:rFonts w:ascii="Arial" w:hAnsi="Arial" w:cs="Arial"/>
          <w:b/>
          <w:bCs/>
          <w:color w:val="2F5496" w:themeColor="accent1" w:themeShade="BF"/>
        </w:rPr>
      </w:pPr>
      <w:r w:rsidRPr="00C14109">
        <w:rPr>
          <w:rFonts w:ascii="Arial" w:hAnsi="Arial" w:cs="Arial"/>
          <w:b/>
          <w:bCs/>
          <w:color w:val="2F5496" w:themeColor="accent1" w:themeShade="BF"/>
        </w:rPr>
        <w:t>Key additional evidence the CLH report should address transparently</w:t>
      </w:r>
    </w:p>
    <w:p w14:paraId="1AB21394" w14:textId="7166D3A1" w:rsidR="00000380" w:rsidRPr="00056E53" w:rsidRDefault="00056E53" w:rsidP="008A015D">
      <w:pPr>
        <w:spacing w:after="160" w:line="259" w:lineRule="auto"/>
        <w:rPr>
          <w:rFonts w:ascii="Arial" w:hAnsi="Arial" w:cs="Arial"/>
          <w:color w:val="2F5496" w:themeColor="accent1" w:themeShade="BF"/>
        </w:rPr>
      </w:pPr>
      <w:r w:rsidRPr="00056E53">
        <w:rPr>
          <w:rFonts w:ascii="Arial" w:hAnsi="Arial" w:cs="Arial"/>
        </w:rPr>
        <w:t>While some studies may not have been actively excluded, the evidence base as presented</w:t>
      </w:r>
      <w:r>
        <w:rPr>
          <w:rFonts w:ascii="Arial" w:hAnsi="Arial" w:cs="Arial"/>
        </w:rPr>
        <w:t xml:space="preserve"> within the report</w:t>
      </w:r>
      <w:r w:rsidRPr="00056E53">
        <w:rPr>
          <w:rFonts w:ascii="Arial" w:hAnsi="Arial" w:cs="Arial"/>
        </w:rPr>
        <w:t xml:space="preserve"> is not current</w:t>
      </w:r>
      <w:r w:rsidR="003B56D8">
        <w:rPr>
          <w:rFonts w:ascii="Arial" w:hAnsi="Arial" w:cs="Arial"/>
        </w:rPr>
        <w:t>,</w:t>
      </w:r>
      <w:r w:rsidRPr="00056E53">
        <w:rPr>
          <w:rFonts w:ascii="Arial" w:hAnsi="Arial" w:cs="Arial"/>
        </w:rPr>
        <w:t xml:space="preserve"> and omits several consequential datasets that materially affect the weight of evidence</w:t>
      </w:r>
      <w:r w:rsidR="00207FE0">
        <w:rPr>
          <w:rFonts w:ascii="Arial" w:hAnsi="Arial" w:cs="Arial"/>
        </w:rPr>
        <w:t xml:space="preserve"> and resulting classification</w:t>
      </w:r>
      <w:r w:rsidR="003B56D8">
        <w:rPr>
          <w:rFonts w:ascii="Arial" w:hAnsi="Arial" w:cs="Arial"/>
        </w:rPr>
        <w:t>,</w:t>
      </w:r>
      <w:r w:rsidRPr="00056E53">
        <w:rPr>
          <w:rFonts w:ascii="Arial" w:hAnsi="Arial" w:cs="Arial"/>
        </w:rPr>
        <w:t xml:space="preserve"> and </w:t>
      </w:r>
      <w:r w:rsidR="00207FE0">
        <w:rPr>
          <w:rFonts w:ascii="Arial" w:hAnsi="Arial" w:cs="Arial"/>
        </w:rPr>
        <w:t xml:space="preserve">therefore </w:t>
      </w:r>
      <w:r w:rsidRPr="00056E53">
        <w:rPr>
          <w:rFonts w:ascii="Arial" w:hAnsi="Arial" w:cs="Arial"/>
        </w:rPr>
        <w:t>should be addressed transparently, including:</w:t>
      </w:r>
    </w:p>
    <w:p w14:paraId="3301B17E" w14:textId="77777777" w:rsidR="00CF657E" w:rsidRPr="007749B3" w:rsidRDefault="00CF657E" w:rsidP="00CF657E">
      <w:pPr>
        <w:pStyle w:val="ListParagraph"/>
        <w:numPr>
          <w:ilvl w:val="0"/>
          <w:numId w:val="5"/>
        </w:numPr>
        <w:spacing w:after="160" w:line="259" w:lineRule="auto"/>
        <w:rPr>
          <w:rFonts w:ascii="Arial" w:hAnsi="Arial" w:cs="Arial"/>
        </w:rPr>
      </w:pPr>
      <w:r w:rsidRPr="007749B3">
        <w:rPr>
          <w:rFonts w:ascii="Arial" w:hAnsi="Arial" w:cs="Arial"/>
        </w:rPr>
        <w:lastRenderedPageBreak/>
        <w:t xml:space="preserve">Bennekou SH, Allende A, </w:t>
      </w:r>
      <w:proofErr w:type="spellStart"/>
      <w:r w:rsidRPr="007749B3">
        <w:rPr>
          <w:rFonts w:ascii="Arial" w:hAnsi="Arial" w:cs="Arial"/>
        </w:rPr>
        <w:t>Bearth</w:t>
      </w:r>
      <w:proofErr w:type="spellEnd"/>
      <w:r w:rsidRPr="007749B3">
        <w:rPr>
          <w:rFonts w:ascii="Arial" w:hAnsi="Arial" w:cs="Arial"/>
        </w:rPr>
        <w:t xml:space="preserve"> A, et al.</w:t>
      </w:r>
      <w:r>
        <w:rPr>
          <w:rFonts w:ascii="Arial" w:hAnsi="Arial" w:cs="Arial"/>
        </w:rPr>
        <w:t xml:space="preserve"> (2025).</w:t>
      </w:r>
      <w:r w:rsidRPr="007749B3">
        <w:rPr>
          <w:rFonts w:ascii="Arial" w:hAnsi="Arial" w:cs="Arial"/>
        </w:rPr>
        <w:t xml:space="preserve"> Updated consumer risk assessment of fluoride in food and drinking water </w:t>
      </w:r>
      <w:proofErr w:type="gramStart"/>
      <w:r w:rsidRPr="007749B3">
        <w:rPr>
          <w:rFonts w:ascii="Arial" w:hAnsi="Arial" w:cs="Arial"/>
        </w:rPr>
        <w:t>including</w:t>
      </w:r>
      <w:proofErr w:type="gramEnd"/>
      <w:r w:rsidRPr="007749B3">
        <w:rPr>
          <w:rFonts w:ascii="Arial" w:hAnsi="Arial" w:cs="Arial"/>
        </w:rPr>
        <w:t xml:space="preserve"> the contribution from other sources of oral exposure. </w:t>
      </w:r>
      <w:r w:rsidRPr="00E97190">
        <w:rPr>
          <w:rFonts w:ascii="Arial" w:hAnsi="Arial" w:cs="Arial"/>
          <w:i/>
          <w:iCs/>
        </w:rPr>
        <w:t>EFSA Journal</w:t>
      </w:r>
      <w:r w:rsidRPr="007749B3">
        <w:rPr>
          <w:rFonts w:ascii="Arial" w:hAnsi="Arial" w:cs="Arial"/>
        </w:rPr>
        <w:t xml:space="preserve">. </w:t>
      </w:r>
      <w:proofErr w:type="gramStart"/>
      <w:r w:rsidRPr="007749B3">
        <w:rPr>
          <w:rFonts w:ascii="Arial" w:hAnsi="Arial" w:cs="Arial"/>
        </w:rPr>
        <w:t>doi:10.2903/j.efsa</w:t>
      </w:r>
      <w:proofErr w:type="gramEnd"/>
      <w:r w:rsidRPr="007749B3">
        <w:rPr>
          <w:rFonts w:ascii="Arial" w:hAnsi="Arial" w:cs="Arial"/>
        </w:rPr>
        <w:t>.2025.9478</w:t>
      </w:r>
      <w:r>
        <w:rPr>
          <w:rFonts w:ascii="Arial" w:hAnsi="Arial" w:cs="Arial"/>
        </w:rPr>
        <w:t xml:space="preserve">. </w:t>
      </w:r>
    </w:p>
    <w:p w14:paraId="6C3CA46A" w14:textId="77777777" w:rsidR="008A015D" w:rsidRDefault="008A015D" w:rsidP="008A015D">
      <w:pPr>
        <w:pStyle w:val="ListParagraph"/>
        <w:numPr>
          <w:ilvl w:val="0"/>
          <w:numId w:val="5"/>
        </w:numPr>
        <w:spacing w:after="160" w:line="259" w:lineRule="auto"/>
        <w:rPr>
          <w:rFonts w:ascii="Arial" w:hAnsi="Arial" w:cs="Arial"/>
        </w:rPr>
      </w:pPr>
      <w:r w:rsidRPr="007749B3">
        <w:rPr>
          <w:rFonts w:ascii="Arial" w:hAnsi="Arial" w:cs="Arial"/>
        </w:rPr>
        <w:t xml:space="preserve">Duan Q, Jiao J, Chen X, Wang X. </w:t>
      </w:r>
      <w:r>
        <w:rPr>
          <w:rFonts w:ascii="Arial" w:hAnsi="Arial" w:cs="Arial"/>
        </w:rPr>
        <w:t xml:space="preserve">(2018). </w:t>
      </w:r>
      <w:r w:rsidRPr="007749B3">
        <w:rPr>
          <w:rFonts w:ascii="Arial" w:hAnsi="Arial" w:cs="Arial"/>
        </w:rPr>
        <w:t xml:space="preserve">Association between water fluoride and the level of children’s intelligence: a dose–response meta-analysis. </w:t>
      </w:r>
      <w:r w:rsidRPr="00DE72FE">
        <w:rPr>
          <w:rFonts w:ascii="Arial" w:hAnsi="Arial" w:cs="Arial"/>
          <w:i/>
          <w:iCs/>
        </w:rPr>
        <w:t>Public Health</w:t>
      </w:r>
      <w:r w:rsidRPr="007749B3">
        <w:rPr>
          <w:rFonts w:ascii="Arial" w:hAnsi="Arial" w:cs="Arial"/>
        </w:rPr>
        <w:t xml:space="preserve">. 154:87-97. </w:t>
      </w:r>
    </w:p>
    <w:p w14:paraId="70E05340" w14:textId="7F8E2BF4" w:rsidR="005D31AD" w:rsidRPr="005D31AD" w:rsidRDefault="005D31AD" w:rsidP="005D31AD">
      <w:pPr>
        <w:pStyle w:val="ListParagraph"/>
        <w:numPr>
          <w:ilvl w:val="0"/>
          <w:numId w:val="5"/>
        </w:numPr>
        <w:spacing w:after="160" w:line="259" w:lineRule="auto"/>
        <w:rPr>
          <w:rFonts w:ascii="Arial" w:hAnsi="Arial" w:cs="Arial"/>
        </w:rPr>
      </w:pPr>
      <w:r w:rsidRPr="007749B3">
        <w:rPr>
          <w:rFonts w:ascii="Arial" w:hAnsi="Arial" w:cs="Arial"/>
        </w:rPr>
        <w:t>Gopu BP, Azevedo LB, Duckworth RM, Subramanian MKP, John S, Zohoori FV.</w:t>
      </w:r>
      <w:r>
        <w:rPr>
          <w:rFonts w:ascii="Arial" w:hAnsi="Arial" w:cs="Arial"/>
        </w:rPr>
        <w:t xml:space="preserve"> (2022).</w:t>
      </w:r>
      <w:r w:rsidRPr="007749B3">
        <w:rPr>
          <w:rFonts w:ascii="Arial" w:hAnsi="Arial" w:cs="Arial"/>
        </w:rPr>
        <w:t xml:space="preserve"> The Relationship between Fluoride Exposure and Cognitive Outcomes from Gestation to Adulthood—A Systematic Review. </w:t>
      </w:r>
      <w:r w:rsidRPr="006906AF">
        <w:rPr>
          <w:rFonts w:ascii="Arial" w:hAnsi="Arial" w:cs="Arial"/>
          <w:i/>
          <w:iCs/>
        </w:rPr>
        <w:t>Int J Environ Res Public Health</w:t>
      </w:r>
      <w:r w:rsidRPr="007749B3">
        <w:rPr>
          <w:rFonts w:ascii="Arial" w:hAnsi="Arial" w:cs="Arial"/>
        </w:rPr>
        <w:t xml:space="preserve">. 20(1):22. </w:t>
      </w:r>
    </w:p>
    <w:p w14:paraId="6302FF19" w14:textId="77777777" w:rsidR="00CF657E" w:rsidRPr="007749B3" w:rsidRDefault="00CF657E" w:rsidP="00CF657E">
      <w:pPr>
        <w:pStyle w:val="ListParagraph"/>
        <w:numPr>
          <w:ilvl w:val="0"/>
          <w:numId w:val="5"/>
        </w:numPr>
        <w:spacing w:after="160" w:line="259" w:lineRule="auto"/>
        <w:rPr>
          <w:rFonts w:ascii="Arial" w:hAnsi="Arial" w:cs="Arial"/>
        </w:rPr>
      </w:pPr>
      <w:r w:rsidRPr="007749B3">
        <w:rPr>
          <w:rFonts w:ascii="Arial" w:hAnsi="Arial" w:cs="Arial"/>
        </w:rPr>
        <w:t xml:space="preserve">Guth S, </w:t>
      </w:r>
      <w:proofErr w:type="spellStart"/>
      <w:r w:rsidRPr="007749B3">
        <w:rPr>
          <w:rFonts w:ascii="Arial" w:hAnsi="Arial" w:cs="Arial"/>
        </w:rPr>
        <w:t>Hüser</w:t>
      </w:r>
      <w:proofErr w:type="spellEnd"/>
      <w:r w:rsidRPr="007749B3">
        <w:rPr>
          <w:rFonts w:ascii="Arial" w:hAnsi="Arial" w:cs="Arial"/>
        </w:rPr>
        <w:t xml:space="preserve"> S, Roth A, et al. </w:t>
      </w:r>
      <w:r>
        <w:rPr>
          <w:rFonts w:ascii="Arial" w:hAnsi="Arial" w:cs="Arial"/>
        </w:rPr>
        <w:t xml:space="preserve">(2020). </w:t>
      </w:r>
      <w:r w:rsidRPr="007749B3">
        <w:rPr>
          <w:rFonts w:ascii="Arial" w:hAnsi="Arial" w:cs="Arial"/>
        </w:rPr>
        <w:t xml:space="preserve">Toxicity of fluoride: critical evaluation of evidence for human developmental neurotoxicity in epidemiological studies, animal experiments and in vitro analyses. </w:t>
      </w:r>
      <w:r w:rsidRPr="009F0356">
        <w:rPr>
          <w:rFonts w:ascii="Arial" w:hAnsi="Arial" w:cs="Arial"/>
          <w:i/>
          <w:iCs/>
        </w:rPr>
        <w:t xml:space="preserve">Arch </w:t>
      </w:r>
      <w:proofErr w:type="spellStart"/>
      <w:r w:rsidRPr="009F0356">
        <w:rPr>
          <w:rFonts w:ascii="Arial" w:hAnsi="Arial" w:cs="Arial"/>
          <w:i/>
          <w:iCs/>
        </w:rPr>
        <w:t>Toxicol</w:t>
      </w:r>
      <w:proofErr w:type="spellEnd"/>
      <w:r w:rsidRPr="007749B3">
        <w:rPr>
          <w:rFonts w:ascii="Arial" w:hAnsi="Arial" w:cs="Arial"/>
        </w:rPr>
        <w:t xml:space="preserve">. 94(5):1375-1415. </w:t>
      </w:r>
    </w:p>
    <w:p w14:paraId="05013CA3" w14:textId="77777777" w:rsidR="00CF657E" w:rsidRPr="007749B3" w:rsidRDefault="00CF657E" w:rsidP="00CF657E">
      <w:pPr>
        <w:pStyle w:val="ListParagraph"/>
        <w:numPr>
          <w:ilvl w:val="0"/>
          <w:numId w:val="5"/>
        </w:numPr>
        <w:spacing w:after="160" w:line="259" w:lineRule="auto"/>
        <w:rPr>
          <w:rFonts w:ascii="Arial" w:hAnsi="Arial" w:cs="Arial"/>
        </w:rPr>
      </w:pPr>
      <w:r w:rsidRPr="007749B3">
        <w:rPr>
          <w:rFonts w:ascii="Arial" w:hAnsi="Arial" w:cs="Arial"/>
        </w:rPr>
        <w:t xml:space="preserve">Guth S, </w:t>
      </w:r>
      <w:proofErr w:type="spellStart"/>
      <w:r w:rsidRPr="007749B3">
        <w:rPr>
          <w:rFonts w:ascii="Arial" w:hAnsi="Arial" w:cs="Arial"/>
        </w:rPr>
        <w:t>Hüser</w:t>
      </w:r>
      <w:proofErr w:type="spellEnd"/>
      <w:r w:rsidRPr="007749B3">
        <w:rPr>
          <w:rFonts w:ascii="Arial" w:hAnsi="Arial" w:cs="Arial"/>
        </w:rPr>
        <w:t xml:space="preserve"> S, Roth A, et al. </w:t>
      </w:r>
      <w:r>
        <w:rPr>
          <w:rFonts w:ascii="Arial" w:hAnsi="Arial" w:cs="Arial"/>
        </w:rPr>
        <w:t xml:space="preserve">(2021). </w:t>
      </w:r>
      <w:r w:rsidRPr="007749B3">
        <w:rPr>
          <w:rFonts w:ascii="Arial" w:hAnsi="Arial" w:cs="Arial"/>
        </w:rPr>
        <w:t xml:space="preserve">Contribution to the ongoing discussion on fluoride toxicity. </w:t>
      </w:r>
      <w:r w:rsidRPr="00A46D3F">
        <w:rPr>
          <w:rFonts w:ascii="Arial" w:hAnsi="Arial" w:cs="Arial"/>
          <w:i/>
          <w:iCs/>
        </w:rPr>
        <w:t xml:space="preserve">Arch </w:t>
      </w:r>
      <w:proofErr w:type="spellStart"/>
      <w:r w:rsidRPr="00A46D3F">
        <w:rPr>
          <w:rFonts w:ascii="Arial" w:hAnsi="Arial" w:cs="Arial"/>
          <w:i/>
          <w:iCs/>
        </w:rPr>
        <w:t>Toxicol</w:t>
      </w:r>
      <w:proofErr w:type="spellEnd"/>
      <w:r w:rsidRPr="007749B3">
        <w:rPr>
          <w:rFonts w:ascii="Arial" w:hAnsi="Arial" w:cs="Arial"/>
        </w:rPr>
        <w:t xml:space="preserve">. </w:t>
      </w:r>
      <w:r w:rsidRPr="00A46D3F">
        <w:rPr>
          <w:rFonts w:ascii="Arial" w:hAnsi="Arial" w:cs="Arial"/>
        </w:rPr>
        <w:t>95(7):2571-2587</w:t>
      </w:r>
      <w:r>
        <w:rPr>
          <w:rFonts w:ascii="Arial" w:hAnsi="Arial" w:cs="Arial"/>
        </w:rPr>
        <w:t xml:space="preserve">. </w:t>
      </w:r>
    </w:p>
    <w:p w14:paraId="272F2A97" w14:textId="77777777" w:rsidR="00CF657E" w:rsidRPr="00C85D61" w:rsidRDefault="00CF657E" w:rsidP="00CF657E">
      <w:pPr>
        <w:pStyle w:val="ListParagraph"/>
        <w:numPr>
          <w:ilvl w:val="0"/>
          <w:numId w:val="5"/>
        </w:numPr>
        <w:spacing w:after="160" w:line="259" w:lineRule="auto"/>
        <w:rPr>
          <w:rFonts w:ascii="Arial" w:hAnsi="Arial" w:cs="Arial"/>
        </w:rPr>
      </w:pPr>
      <w:r w:rsidRPr="007749B3">
        <w:rPr>
          <w:rFonts w:ascii="Arial" w:hAnsi="Arial" w:cs="Arial"/>
        </w:rPr>
        <w:t>Health Canada. Expert Panel Meeting on the Health Effects of Fluoride in Drinking Water: Summary Report. 2023.</w:t>
      </w:r>
      <w:r>
        <w:rPr>
          <w:rFonts w:ascii="Arial" w:hAnsi="Arial" w:cs="Arial"/>
        </w:rPr>
        <w:t xml:space="preserve"> </w:t>
      </w:r>
      <w:hyperlink r:id="rId12" w:history="1">
        <w:r w:rsidRPr="00880839">
          <w:rPr>
            <w:rStyle w:val="Hyperlink"/>
            <w:rFonts w:ascii="Arial" w:hAnsi="Arial" w:cs="Arial"/>
          </w:rPr>
          <w:t>https://www.canada.ca/en/health-canada/services/environmental-workplace-health/reports-publications/water-quality/expert-panel-meeting-effects-fluoride-drinking-summary.html</w:t>
        </w:r>
      </w:hyperlink>
      <w:r>
        <w:rPr>
          <w:rFonts w:ascii="Arial" w:hAnsi="Arial" w:cs="Arial"/>
        </w:rPr>
        <w:t xml:space="preserve">. </w:t>
      </w:r>
    </w:p>
    <w:p w14:paraId="0BEAEBF3" w14:textId="77777777" w:rsidR="008A015D" w:rsidRPr="007749B3" w:rsidRDefault="008A015D" w:rsidP="008A015D">
      <w:pPr>
        <w:pStyle w:val="ListParagraph"/>
        <w:numPr>
          <w:ilvl w:val="0"/>
          <w:numId w:val="5"/>
        </w:numPr>
        <w:spacing w:after="160" w:line="259" w:lineRule="auto"/>
        <w:rPr>
          <w:rFonts w:ascii="Arial" w:hAnsi="Arial" w:cs="Arial"/>
        </w:rPr>
      </w:pPr>
      <w:r w:rsidRPr="007749B3">
        <w:rPr>
          <w:rFonts w:ascii="Arial" w:hAnsi="Arial" w:cs="Arial"/>
        </w:rPr>
        <w:t xml:space="preserve">Kumar J V., Moss ME, Liu H, Fisher-Owens S. </w:t>
      </w:r>
      <w:r>
        <w:rPr>
          <w:rFonts w:ascii="Arial" w:hAnsi="Arial" w:cs="Arial"/>
        </w:rPr>
        <w:t xml:space="preserve">(2023). </w:t>
      </w:r>
      <w:r w:rsidRPr="007749B3">
        <w:rPr>
          <w:rFonts w:ascii="Arial" w:hAnsi="Arial" w:cs="Arial"/>
        </w:rPr>
        <w:t xml:space="preserve">Association between low fluoride exposure and children’s intelligence: a meta-analysis relevant to community water fluoridation. </w:t>
      </w:r>
      <w:r w:rsidRPr="00A46D3F">
        <w:rPr>
          <w:rFonts w:ascii="Arial" w:hAnsi="Arial" w:cs="Arial"/>
          <w:i/>
          <w:iCs/>
        </w:rPr>
        <w:t>Public Health</w:t>
      </w:r>
      <w:r w:rsidRPr="007749B3">
        <w:rPr>
          <w:rFonts w:ascii="Arial" w:hAnsi="Arial" w:cs="Arial"/>
        </w:rPr>
        <w:t xml:space="preserve">. 219:73-84. </w:t>
      </w:r>
    </w:p>
    <w:p w14:paraId="527926C5" w14:textId="5F5AB43A" w:rsidR="00E21A48" w:rsidRPr="00E21A48" w:rsidRDefault="00E21A48" w:rsidP="00E21A48">
      <w:pPr>
        <w:pStyle w:val="ListParagraph"/>
        <w:numPr>
          <w:ilvl w:val="0"/>
          <w:numId w:val="5"/>
        </w:numPr>
        <w:spacing w:after="160" w:line="259" w:lineRule="auto"/>
        <w:rPr>
          <w:rFonts w:ascii="Arial" w:hAnsi="Arial" w:cs="Arial"/>
        </w:rPr>
      </w:pPr>
      <w:r w:rsidRPr="00E21A48">
        <w:rPr>
          <w:rFonts w:ascii="Arial" w:hAnsi="Arial" w:cs="Arial"/>
        </w:rPr>
        <w:t xml:space="preserve">Ministry of Health. New Zealand Government. Community Water Fluoridation: An Evidence Review. </w:t>
      </w:r>
      <w:hyperlink r:id="rId13" w:history="1">
        <w:r w:rsidR="00F87A00" w:rsidRPr="00880839">
          <w:rPr>
            <w:rStyle w:val="Hyperlink"/>
            <w:rFonts w:ascii="Arial" w:hAnsi="Arial" w:cs="Arial"/>
          </w:rPr>
          <w:t>https://www.health.govt.nz/publications/community-water-fluoridation-an-evidence-review</w:t>
        </w:r>
      </w:hyperlink>
      <w:r w:rsidR="00F87A00">
        <w:rPr>
          <w:rFonts w:ascii="Arial" w:hAnsi="Arial" w:cs="Arial"/>
        </w:rPr>
        <w:t xml:space="preserve"> </w:t>
      </w:r>
    </w:p>
    <w:p w14:paraId="33790E1C" w14:textId="77777777" w:rsidR="008A015D" w:rsidRPr="007749B3" w:rsidRDefault="008A015D" w:rsidP="008A015D">
      <w:pPr>
        <w:pStyle w:val="ListParagraph"/>
        <w:numPr>
          <w:ilvl w:val="0"/>
          <w:numId w:val="5"/>
        </w:numPr>
        <w:spacing w:after="160" w:line="259" w:lineRule="auto"/>
        <w:rPr>
          <w:rFonts w:ascii="Arial" w:hAnsi="Arial" w:cs="Arial"/>
        </w:rPr>
      </w:pPr>
      <w:r w:rsidRPr="007749B3">
        <w:rPr>
          <w:rFonts w:ascii="Arial" w:hAnsi="Arial" w:cs="Arial"/>
          <w:lang w:val="pt-BR"/>
        </w:rPr>
        <w:t xml:space="preserve">Miranda GHN, Alvarenga MOP, Ferreira MKM, et al. </w:t>
      </w:r>
      <w:r w:rsidRPr="006906AF">
        <w:rPr>
          <w:rFonts w:ascii="Arial" w:hAnsi="Arial" w:cs="Arial"/>
        </w:rPr>
        <w:t>(2</w:t>
      </w:r>
      <w:r>
        <w:rPr>
          <w:rFonts w:ascii="Arial" w:hAnsi="Arial" w:cs="Arial"/>
        </w:rPr>
        <w:t xml:space="preserve">021). </w:t>
      </w:r>
      <w:r w:rsidRPr="007749B3">
        <w:rPr>
          <w:rFonts w:ascii="Arial" w:hAnsi="Arial" w:cs="Arial"/>
        </w:rPr>
        <w:t xml:space="preserve">A systematic review and meta-analysis of the association between fluoride exposure and neurological disorders. </w:t>
      </w:r>
      <w:r w:rsidRPr="006906AF">
        <w:rPr>
          <w:rFonts w:ascii="Arial" w:hAnsi="Arial" w:cs="Arial"/>
          <w:i/>
          <w:iCs/>
        </w:rPr>
        <w:t>Sci Rep</w:t>
      </w:r>
      <w:r w:rsidRPr="007749B3">
        <w:rPr>
          <w:rFonts w:ascii="Arial" w:hAnsi="Arial" w:cs="Arial"/>
        </w:rPr>
        <w:t xml:space="preserve">. 11(1):22659. </w:t>
      </w:r>
    </w:p>
    <w:p w14:paraId="2A6C6EAF" w14:textId="205C90BD" w:rsidR="00E21A48" w:rsidRPr="007749B3" w:rsidRDefault="00E21A48" w:rsidP="007749B3">
      <w:pPr>
        <w:pStyle w:val="ListParagraph"/>
        <w:numPr>
          <w:ilvl w:val="0"/>
          <w:numId w:val="5"/>
        </w:numPr>
        <w:spacing w:after="160" w:line="259" w:lineRule="auto"/>
        <w:rPr>
          <w:rFonts w:ascii="Arial" w:hAnsi="Arial" w:cs="Arial"/>
        </w:rPr>
      </w:pPr>
      <w:r w:rsidRPr="007749B3">
        <w:rPr>
          <w:rFonts w:ascii="Arial" w:hAnsi="Arial" w:cs="Arial"/>
        </w:rPr>
        <w:t xml:space="preserve">Taher MK, </w:t>
      </w:r>
      <w:proofErr w:type="spellStart"/>
      <w:r w:rsidRPr="007749B3">
        <w:rPr>
          <w:rFonts w:ascii="Arial" w:hAnsi="Arial" w:cs="Arial"/>
        </w:rPr>
        <w:t>Momoli</w:t>
      </w:r>
      <w:proofErr w:type="spellEnd"/>
      <w:r w:rsidRPr="007749B3">
        <w:rPr>
          <w:rFonts w:ascii="Arial" w:hAnsi="Arial" w:cs="Arial"/>
        </w:rPr>
        <w:t xml:space="preserve"> F, Go J, et al. </w:t>
      </w:r>
      <w:r w:rsidR="00A46D3F">
        <w:rPr>
          <w:rFonts w:ascii="Arial" w:hAnsi="Arial" w:cs="Arial"/>
        </w:rPr>
        <w:t xml:space="preserve">(2024). </w:t>
      </w:r>
      <w:r w:rsidRPr="007749B3">
        <w:rPr>
          <w:rFonts w:ascii="Arial" w:hAnsi="Arial" w:cs="Arial"/>
        </w:rPr>
        <w:t xml:space="preserve">Systematic review of epidemiological and toxicological evidence on health effects of fluoride in drinking water. </w:t>
      </w:r>
      <w:r w:rsidRPr="00A46D3F">
        <w:rPr>
          <w:rFonts w:ascii="Arial" w:hAnsi="Arial" w:cs="Arial"/>
          <w:i/>
          <w:iCs/>
        </w:rPr>
        <w:t xml:space="preserve">Crit Rev </w:t>
      </w:r>
      <w:proofErr w:type="spellStart"/>
      <w:r w:rsidRPr="00A46D3F">
        <w:rPr>
          <w:rFonts w:ascii="Arial" w:hAnsi="Arial" w:cs="Arial"/>
          <w:i/>
          <w:iCs/>
        </w:rPr>
        <w:t>Toxicol</w:t>
      </w:r>
      <w:proofErr w:type="spellEnd"/>
      <w:r w:rsidRPr="007749B3">
        <w:rPr>
          <w:rFonts w:ascii="Arial" w:hAnsi="Arial" w:cs="Arial"/>
        </w:rPr>
        <w:t xml:space="preserve">. 54(1):2-34. </w:t>
      </w:r>
    </w:p>
    <w:p w14:paraId="055DE7A7" w14:textId="1EE33660" w:rsidR="008E4C35" w:rsidRPr="008A015D" w:rsidRDefault="008A015D" w:rsidP="008A015D">
      <w:pPr>
        <w:pStyle w:val="ListParagraph"/>
        <w:numPr>
          <w:ilvl w:val="0"/>
          <w:numId w:val="5"/>
        </w:numPr>
        <w:spacing w:after="160" w:line="259" w:lineRule="auto"/>
        <w:rPr>
          <w:rFonts w:ascii="Arial" w:hAnsi="Arial" w:cs="Arial"/>
        </w:rPr>
      </w:pPr>
      <w:r>
        <w:rPr>
          <w:rFonts w:ascii="Arial" w:hAnsi="Arial" w:cs="Arial"/>
        </w:rPr>
        <w:t xml:space="preserve">The Academy of Medical Sciences. (2025). Evidence synthesis report on the optimal concentration of water fluoridation in the UK. </w:t>
      </w:r>
      <w:hyperlink r:id="rId14" w:history="1">
        <w:r w:rsidRPr="00880839">
          <w:rPr>
            <w:rStyle w:val="Hyperlink"/>
            <w:rFonts w:ascii="Arial" w:hAnsi="Arial" w:cs="Arial"/>
          </w:rPr>
          <w:t>https://acmedsci.ac.uk/file-download/academy-water-fluoridation-report-2025</w:t>
        </w:r>
      </w:hyperlink>
      <w:r>
        <w:rPr>
          <w:rFonts w:ascii="Arial" w:hAnsi="Arial" w:cs="Arial"/>
        </w:rPr>
        <w:t xml:space="preserve">. </w:t>
      </w:r>
      <w:r w:rsidR="00E21A48" w:rsidRPr="003F6809">
        <w:rPr>
          <w:rFonts w:ascii="Arial" w:hAnsi="Arial" w:cs="Arial"/>
        </w:rPr>
        <w:t xml:space="preserve">Veneri F, </w:t>
      </w:r>
      <w:proofErr w:type="spellStart"/>
      <w:r w:rsidR="00E21A48" w:rsidRPr="003F6809">
        <w:rPr>
          <w:rFonts w:ascii="Arial" w:hAnsi="Arial" w:cs="Arial"/>
        </w:rPr>
        <w:t>Vinceti</w:t>
      </w:r>
      <w:proofErr w:type="spellEnd"/>
      <w:r w:rsidR="00E21A48" w:rsidRPr="003F6809">
        <w:rPr>
          <w:rFonts w:ascii="Arial" w:hAnsi="Arial" w:cs="Arial"/>
        </w:rPr>
        <w:t xml:space="preserve"> M, Generali L, et al. </w:t>
      </w:r>
      <w:r w:rsidR="006906AF" w:rsidRPr="006906AF">
        <w:rPr>
          <w:rFonts w:ascii="Arial" w:hAnsi="Arial" w:cs="Arial"/>
        </w:rPr>
        <w:t>(2</w:t>
      </w:r>
      <w:r w:rsidR="006906AF">
        <w:rPr>
          <w:rFonts w:ascii="Arial" w:hAnsi="Arial" w:cs="Arial"/>
        </w:rPr>
        <w:t xml:space="preserve">023). </w:t>
      </w:r>
      <w:r w:rsidR="00E21A48" w:rsidRPr="007749B3">
        <w:rPr>
          <w:rFonts w:ascii="Arial" w:hAnsi="Arial" w:cs="Arial"/>
        </w:rPr>
        <w:t xml:space="preserve">Fluoride exposure and cognitive neurodevelopment: Systematic review and dose-response meta-analysis. </w:t>
      </w:r>
      <w:r w:rsidR="00E21A48" w:rsidRPr="006906AF">
        <w:rPr>
          <w:rFonts w:ascii="Arial" w:hAnsi="Arial" w:cs="Arial"/>
          <w:i/>
          <w:iCs/>
        </w:rPr>
        <w:t>Environ Res</w:t>
      </w:r>
      <w:r w:rsidR="00E21A48" w:rsidRPr="007749B3">
        <w:rPr>
          <w:rFonts w:ascii="Arial" w:hAnsi="Arial" w:cs="Arial"/>
        </w:rPr>
        <w:t xml:space="preserve">. 221:115239. </w:t>
      </w:r>
    </w:p>
    <w:p w14:paraId="08EAB3D1" w14:textId="2B6CFCA6" w:rsidR="000B20B4" w:rsidRPr="00A66536" w:rsidRDefault="006F72A8" w:rsidP="006F72A8">
      <w:pPr>
        <w:spacing w:after="160" w:line="259" w:lineRule="auto"/>
        <w:rPr>
          <w:rFonts w:ascii="Arial" w:hAnsi="Arial" w:cs="Arial"/>
          <w:b/>
          <w:bCs/>
        </w:rPr>
      </w:pPr>
      <w:r w:rsidRPr="00A66536">
        <w:rPr>
          <w:rFonts w:ascii="Arial" w:hAnsi="Arial" w:cs="Arial"/>
          <w:b/>
          <w:bCs/>
        </w:rPr>
        <w:t>IADR strongly supports incorporating these reviews into an updated evidence synthesis with transparent</w:t>
      </w:r>
      <w:r w:rsidR="00275556">
        <w:rPr>
          <w:rFonts w:ascii="Arial" w:hAnsi="Arial" w:cs="Arial"/>
          <w:b/>
          <w:bCs/>
        </w:rPr>
        <w:t>, dom</w:t>
      </w:r>
      <w:r w:rsidR="008D638E">
        <w:rPr>
          <w:rFonts w:ascii="Arial" w:hAnsi="Arial" w:cs="Arial"/>
          <w:b/>
          <w:bCs/>
        </w:rPr>
        <w:t xml:space="preserve">ain-based </w:t>
      </w:r>
      <w:r w:rsidRPr="00A66536">
        <w:rPr>
          <w:rFonts w:ascii="Arial" w:hAnsi="Arial" w:cs="Arial"/>
          <w:b/>
          <w:bCs/>
        </w:rPr>
        <w:t xml:space="preserve">risk-of-bias </w:t>
      </w:r>
      <w:r w:rsidR="008D638E">
        <w:rPr>
          <w:rFonts w:ascii="Arial" w:hAnsi="Arial" w:cs="Arial"/>
          <w:b/>
          <w:bCs/>
        </w:rPr>
        <w:t xml:space="preserve">framework </w:t>
      </w:r>
      <w:r w:rsidR="008D638E" w:rsidRPr="00275556">
        <w:rPr>
          <w:rFonts w:ascii="Arial" w:hAnsi="Arial" w:cs="Arial"/>
          <w:b/>
          <w:bCs/>
        </w:rPr>
        <w:t xml:space="preserve">especially to </w:t>
      </w:r>
      <w:r w:rsidR="008D638E" w:rsidRPr="00275556">
        <w:rPr>
          <w:rFonts w:ascii="Arial" w:hAnsi="Arial" w:cs="Arial"/>
          <w:b/>
          <w:bCs/>
        </w:rPr>
        <w:lastRenderedPageBreak/>
        <w:t>the observational human studies (e.g., exposure assessment, confounding, selective reporting)</w:t>
      </w:r>
      <w:r w:rsidR="00C25E3F">
        <w:rPr>
          <w:rFonts w:ascii="Arial" w:hAnsi="Arial" w:cs="Arial"/>
          <w:b/>
          <w:bCs/>
        </w:rPr>
        <w:t>,</w:t>
      </w:r>
      <w:r w:rsidR="008D638E">
        <w:rPr>
          <w:rFonts w:ascii="Arial" w:hAnsi="Arial" w:cs="Arial"/>
          <w:b/>
          <w:bCs/>
        </w:rPr>
        <w:t xml:space="preserve"> </w:t>
      </w:r>
      <w:r w:rsidRPr="00A66536">
        <w:rPr>
          <w:rFonts w:ascii="Arial" w:hAnsi="Arial" w:cs="Arial"/>
          <w:b/>
          <w:bCs/>
        </w:rPr>
        <w:t>and explicit handling of inconsistency.</w:t>
      </w:r>
      <w:r w:rsidR="00275556">
        <w:rPr>
          <w:rFonts w:ascii="Arial" w:hAnsi="Arial" w:cs="Arial"/>
          <w:b/>
          <w:bCs/>
        </w:rPr>
        <w:t xml:space="preserve"> </w:t>
      </w:r>
    </w:p>
    <w:p w14:paraId="09ABFE27" w14:textId="03F59CAA" w:rsidR="0033237B" w:rsidRPr="0033237B" w:rsidRDefault="009A1ADF" w:rsidP="0033237B">
      <w:pPr>
        <w:spacing w:after="160" w:line="259" w:lineRule="auto"/>
        <w:rPr>
          <w:rFonts w:ascii="Arial" w:hAnsi="Arial" w:cs="Arial"/>
        </w:rPr>
      </w:pPr>
      <w:r w:rsidRPr="009A1ADF">
        <w:rPr>
          <w:rFonts w:ascii="Arial" w:hAnsi="Arial" w:cs="Arial"/>
        </w:rPr>
        <w:t xml:space="preserve">In summary, </w:t>
      </w:r>
      <w:r w:rsidR="0033237B" w:rsidRPr="0033237B">
        <w:rPr>
          <w:rFonts w:ascii="Arial" w:hAnsi="Arial" w:cs="Arial"/>
        </w:rPr>
        <w:t xml:space="preserve">the evidence presented in the CLH report </w:t>
      </w:r>
      <w:r w:rsidR="0033237B" w:rsidRPr="008D6DCA">
        <w:rPr>
          <w:rFonts w:ascii="Arial" w:hAnsi="Arial" w:cs="Arial"/>
          <w:b/>
          <w:bCs/>
          <w:u w:val="single"/>
        </w:rPr>
        <w:t xml:space="preserve">does not meet a reasonable scientific threshold to justify reclassification </w:t>
      </w:r>
      <w:r w:rsidR="00C252AB">
        <w:rPr>
          <w:rFonts w:ascii="Arial" w:hAnsi="Arial" w:cs="Arial"/>
          <w:b/>
          <w:bCs/>
          <w:u w:val="single"/>
        </w:rPr>
        <w:t xml:space="preserve">or labelling </w:t>
      </w:r>
      <w:r w:rsidR="0033237B" w:rsidRPr="008D6DCA">
        <w:rPr>
          <w:rFonts w:ascii="Arial" w:hAnsi="Arial" w:cs="Arial"/>
          <w:b/>
          <w:bCs/>
          <w:u w:val="single"/>
        </w:rPr>
        <w:t>of sodium fluoride as proposed</w:t>
      </w:r>
      <w:r w:rsidR="0033237B" w:rsidRPr="0033237B">
        <w:rPr>
          <w:rFonts w:ascii="Arial" w:hAnsi="Arial" w:cs="Arial"/>
        </w:rPr>
        <w:t xml:space="preserve">. The </w:t>
      </w:r>
      <w:r w:rsidR="00D35432">
        <w:rPr>
          <w:rFonts w:ascii="Arial" w:hAnsi="Arial" w:cs="Arial"/>
        </w:rPr>
        <w:t>report</w:t>
      </w:r>
      <w:r w:rsidR="0033237B" w:rsidRPr="0033237B">
        <w:rPr>
          <w:rFonts w:ascii="Arial" w:hAnsi="Arial" w:cs="Arial"/>
        </w:rPr>
        <w:t>’s central inferences</w:t>
      </w:r>
      <w:r w:rsidR="00D35432">
        <w:rPr>
          <w:rFonts w:ascii="Arial" w:hAnsi="Arial" w:cs="Arial"/>
        </w:rPr>
        <w:t xml:space="preserve">, </w:t>
      </w:r>
      <w:r w:rsidR="0033237B" w:rsidRPr="0033237B">
        <w:rPr>
          <w:rFonts w:ascii="Arial" w:hAnsi="Arial" w:cs="Arial"/>
        </w:rPr>
        <w:t>particularly regarding developmental neurotoxicity and thyroid-mediated endocrine disruption</w:t>
      </w:r>
      <w:r w:rsidR="00D35432">
        <w:rPr>
          <w:rFonts w:ascii="Arial" w:hAnsi="Arial" w:cs="Arial"/>
        </w:rPr>
        <w:t xml:space="preserve">, </w:t>
      </w:r>
      <w:r w:rsidR="0033237B" w:rsidRPr="0033237B">
        <w:rPr>
          <w:rFonts w:ascii="Arial" w:hAnsi="Arial" w:cs="Arial"/>
        </w:rPr>
        <w:t xml:space="preserve">are weakened by substantial limitations in exposure characterization (including reliance on indirect proxies), residual and unquantified confounding, unexplained heterogeneity across studies, inconsistent findings in exposure ranges most relevant to population use, and an insufficiently coherent mechanistic narrative linking </w:t>
      </w:r>
      <w:r w:rsidR="00816FD4">
        <w:rPr>
          <w:rFonts w:ascii="Arial" w:hAnsi="Arial" w:cs="Arial"/>
        </w:rPr>
        <w:t>TSH</w:t>
      </w:r>
      <w:r w:rsidR="0033237B" w:rsidRPr="0033237B">
        <w:rPr>
          <w:rFonts w:ascii="Arial" w:hAnsi="Arial" w:cs="Arial"/>
        </w:rPr>
        <w:t xml:space="preserve"> to neurodevelopmental adversity. </w:t>
      </w:r>
      <w:r w:rsidR="00A22A94">
        <w:rPr>
          <w:rFonts w:ascii="Arial" w:hAnsi="Arial" w:cs="Arial"/>
        </w:rPr>
        <w:t>Due to the</w:t>
      </w:r>
      <w:r w:rsidR="00255F99">
        <w:rPr>
          <w:rFonts w:ascii="Arial" w:hAnsi="Arial" w:cs="Arial"/>
        </w:rPr>
        <w:t xml:space="preserve"> notable uncertainty within this report, </w:t>
      </w:r>
      <w:r w:rsidR="0033237B" w:rsidRPr="0033237B">
        <w:rPr>
          <w:rFonts w:ascii="Arial" w:hAnsi="Arial" w:cs="Arial"/>
        </w:rPr>
        <w:t>overstating certainty</w:t>
      </w:r>
      <w:r w:rsidR="00AA08A9">
        <w:rPr>
          <w:rFonts w:ascii="Arial" w:hAnsi="Arial" w:cs="Arial"/>
        </w:rPr>
        <w:t xml:space="preserve"> </w:t>
      </w:r>
      <w:r w:rsidR="00CC0E27">
        <w:rPr>
          <w:rFonts w:ascii="Arial" w:hAnsi="Arial" w:cs="Arial"/>
        </w:rPr>
        <w:t>in</w:t>
      </w:r>
      <w:r w:rsidR="00AA08A9">
        <w:rPr>
          <w:rFonts w:ascii="Arial" w:hAnsi="Arial" w:cs="Arial"/>
        </w:rPr>
        <w:t xml:space="preserve"> the hazard conclusion</w:t>
      </w:r>
      <w:r w:rsidR="0033237B" w:rsidRPr="0033237B">
        <w:rPr>
          <w:rFonts w:ascii="Arial" w:hAnsi="Arial" w:cs="Arial"/>
        </w:rPr>
        <w:t xml:space="preserve"> can produce regulatory outcomes that are not proportionate to</w:t>
      </w:r>
      <w:r w:rsidR="003C263C">
        <w:rPr>
          <w:rFonts w:ascii="Arial" w:hAnsi="Arial" w:cs="Arial"/>
        </w:rPr>
        <w:t>,</w:t>
      </w:r>
      <w:r w:rsidR="0033237B" w:rsidRPr="0033237B">
        <w:rPr>
          <w:rFonts w:ascii="Arial" w:hAnsi="Arial" w:cs="Arial"/>
        </w:rPr>
        <w:t xml:space="preserve"> </w:t>
      </w:r>
      <w:r w:rsidR="006C30B9">
        <w:rPr>
          <w:rFonts w:ascii="Arial" w:hAnsi="Arial" w:cs="Arial"/>
        </w:rPr>
        <w:t>or supported by</w:t>
      </w:r>
      <w:r w:rsidR="003C263C">
        <w:rPr>
          <w:rFonts w:ascii="Arial" w:hAnsi="Arial" w:cs="Arial"/>
        </w:rPr>
        <w:t>,</w:t>
      </w:r>
      <w:r w:rsidR="006C30B9">
        <w:rPr>
          <w:rFonts w:ascii="Arial" w:hAnsi="Arial" w:cs="Arial"/>
        </w:rPr>
        <w:t xml:space="preserve"> </w:t>
      </w:r>
      <w:r w:rsidR="0033237B" w:rsidRPr="0033237B">
        <w:rPr>
          <w:rFonts w:ascii="Arial" w:hAnsi="Arial" w:cs="Arial"/>
        </w:rPr>
        <w:t xml:space="preserve">the underlying </w:t>
      </w:r>
      <w:r w:rsidR="00A529E8">
        <w:rPr>
          <w:rFonts w:ascii="Arial" w:hAnsi="Arial" w:cs="Arial"/>
        </w:rPr>
        <w:t>evidence-based</w:t>
      </w:r>
      <w:r w:rsidR="003C263C">
        <w:rPr>
          <w:rFonts w:ascii="Arial" w:hAnsi="Arial" w:cs="Arial"/>
        </w:rPr>
        <w:t xml:space="preserve"> </w:t>
      </w:r>
      <w:r w:rsidR="0033237B" w:rsidRPr="0033237B">
        <w:rPr>
          <w:rFonts w:ascii="Arial" w:hAnsi="Arial" w:cs="Arial"/>
        </w:rPr>
        <w:t>science.</w:t>
      </w:r>
    </w:p>
    <w:p w14:paraId="2641C4E8" w14:textId="0A75D05E" w:rsidR="0033237B" w:rsidRPr="0033237B" w:rsidRDefault="0033237B" w:rsidP="0033237B">
      <w:pPr>
        <w:spacing w:after="160" w:line="259" w:lineRule="auto"/>
        <w:rPr>
          <w:rFonts w:ascii="Arial" w:hAnsi="Arial" w:cs="Arial"/>
        </w:rPr>
      </w:pPr>
      <w:r w:rsidRPr="00A529E8">
        <w:rPr>
          <w:rFonts w:ascii="Arial" w:hAnsi="Arial" w:cs="Arial"/>
          <w:b/>
          <w:bCs/>
        </w:rPr>
        <w:t xml:space="preserve">Reclassifying sodium fluoride </w:t>
      </w:r>
      <w:proofErr w:type="gramStart"/>
      <w:r w:rsidRPr="00A529E8">
        <w:rPr>
          <w:rFonts w:ascii="Arial" w:hAnsi="Arial" w:cs="Arial"/>
          <w:b/>
          <w:bCs/>
        </w:rPr>
        <w:t>on the basis of</w:t>
      </w:r>
      <w:proofErr w:type="gramEnd"/>
      <w:r w:rsidRPr="00A529E8">
        <w:rPr>
          <w:rFonts w:ascii="Arial" w:hAnsi="Arial" w:cs="Arial"/>
          <w:b/>
          <w:bCs/>
        </w:rPr>
        <w:t xml:space="preserve"> th</w:t>
      </w:r>
      <w:r w:rsidR="006C30B9" w:rsidRPr="00A529E8">
        <w:rPr>
          <w:rFonts w:ascii="Arial" w:hAnsi="Arial" w:cs="Arial"/>
          <w:b/>
          <w:bCs/>
        </w:rPr>
        <w:t>e presented studies</w:t>
      </w:r>
      <w:r w:rsidRPr="00A529E8">
        <w:rPr>
          <w:rFonts w:ascii="Arial" w:hAnsi="Arial" w:cs="Arial"/>
          <w:b/>
          <w:bCs/>
        </w:rPr>
        <w:t xml:space="preserve"> risks unintended consequences that would be harmful to human health.</w:t>
      </w:r>
      <w:r w:rsidRPr="0033237B">
        <w:rPr>
          <w:rFonts w:ascii="Arial" w:hAnsi="Arial" w:cs="Arial"/>
        </w:rPr>
        <w:t xml:space="preserve"> Hazard classifications can materially influence availability, access, and uptake of fluoride-based preventive interventions that are foundational to caries prevention at </w:t>
      </w:r>
      <w:r w:rsidR="00D25FC1">
        <w:rPr>
          <w:rFonts w:ascii="Arial" w:hAnsi="Arial" w:cs="Arial"/>
        </w:rPr>
        <w:t>the</w:t>
      </w:r>
      <w:r w:rsidR="004E20B0">
        <w:rPr>
          <w:rFonts w:ascii="Arial" w:hAnsi="Arial" w:cs="Arial"/>
        </w:rPr>
        <w:t xml:space="preserve"> </w:t>
      </w:r>
      <w:r w:rsidRPr="0033237B">
        <w:rPr>
          <w:rFonts w:ascii="Arial" w:hAnsi="Arial" w:cs="Arial"/>
        </w:rPr>
        <w:t xml:space="preserve">population level, particularly for children and for underserved communities with higher disease burden and fewer alternatives. </w:t>
      </w:r>
      <w:r w:rsidR="00D25FC1">
        <w:rPr>
          <w:rFonts w:ascii="Arial" w:hAnsi="Arial" w:cs="Arial"/>
        </w:rPr>
        <w:t xml:space="preserve">Accordingly, </w:t>
      </w:r>
      <w:r w:rsidR="00A415D9">
        <w:rPr>
          <w:rFonts w:ascii="Arial" w:hAnsi="Arial" w:cs="Arial"/>
        </w:rPr>
        <w:t xml:space="preserve">the </w:t>
      </w:r>
      <w:r w:rsidRPr="0033237B">
        <w:rPr>
          <w:rFonts w:ascii="Arial" w:hAnsi="Arial" w:cs="Arial"/>
        </w:rPr>
        <w:t>IADR urges</w:t>
      </w:r>
      <w:r w:rsidR="00BE3B85">
        <w:rPr>
          <w:rFonts w:ascii="Arial" w:hAnsi="Arial" w:cs="Arial"/>
        </w:rPr>
        <w:t xml:space="preserve"> the</w:t>
      </w:r>
      <w:r w:rsidRPr="0033237B">
        <w:rPr>
          <w:rFonts w:ascii="Arial" w:hAnsi="Arial" w:cs="Arial"/>
        </w:rPr>
        <w:t xml:space="preserve"> </w:t>
      </w:r>
      <w:r w:rsidR="003568B6">
        <w:rPr>
          <w:rFonts w:ascii="Arial" w:hAnsi="Arial" w:cs="Arial"/>
        </w:rPr>
        <w:t>CLH submitter</w:t>
      </w:r>
      <w:r w:rsidRPr="0033237B">
        <w:rPr>
          <w:rFonts w:ascii="Arial" w:hAnsi="Arial" w:cs="Arial"/>
        </w:rPr>
        <w:t xml:space="preserve"> to reassess the weight-of-evidence with a transparent appraisal of study quality and relevance</w:t>
      </w:r>
      <w:r w:rsidR="00BE3B85">
        <w:rPr>
          <w:rFonts w:ascii="Arial" w:hAnsi="Arial" w:cs="Arial"/>
        </w:rPr>
        <w:t xml:space="preserve">, </w:t>
      </w:r>
      <w:r w:rsidRPr="0033237B">
        <w:rPr>
          <w:rFonts w:ascii="Arial" w:hAnsi="Arial" w:cs="Arial"/>
        </w:rPr>
        <w:t xml:space="preserve">and to fully consider higher-quality systematic reviews and authoritative evidence assessments identified in </w:t>
      </w:r>
      <w:r w:rsidR="00BE3B85">
        <w:rPr>
          <w:rFonts w:ascii="Arial" w:hAnsi="Arial" w:cs="Arial"/>
        </w:rPr>
        <w:t xml:space="preserve">this </w:t>
      </w:r>
      <w:r w:rsidRPr="0033237B">
        <w:rPr>
          <w:rFonts w:ascii="Arial" w:hAnsi="Arial" w:cs="Arial"/>
        </w:rPr>
        <w:t xml:space="preserve">stakeholder comment. If uncertainty persists, </w:t>
      </w:r>
      <w:r w:rsidR="00EE045F">
        <w:rPr>
          <w:rFonts w:ascii="Arial" w:hAnsi="Arial" w:cs="Arial"/>
        </w:rPr>
        <w:t xml:space="preserve">the </w:t>
      </w:r>
      <w:r w:rsidRPr="0033237B">
        <w:rPr>
          <w:rFonts w:ascii="Arial" w:hAnsi="Arial" w:cs="Arial"/>
        </w:rPr>
        <w:t>RAC should ensure that any final opinion reflects that uncertainty explicitly and adopts a proportionate classification that is scientifically defensible.</w:t>
      </w:r>
    </w:p>
    <w:p w14:paraId="5790F95A" w14:textId="658AD2CF" w:rsidR="0033237B" w:rsidRPr="00F40963" w:rsidRDefault="0033237B" w:rsidP="0033237B">
      <w:pPr>
        <w:spacing w:after="160" w:line="259" w:lineRule="auto"/>
        <w:rPr>
          <w:rFonts w:ascii="Arial" w:hAnsi="Arial" w:cs="Arial"/>
        </w:rPr>
      </w:pPr>
      <w:r w:rsidRPr="0033237B">
        <w:rPr>
          <w:rFonts w:ascii="Arial" w:hAnsi="Arial" w:cs="Arial"/>
        </w:rPr>
        <w:t xml:space="preserve">IADR welcomes and encourages </w:t>
      </w:r>
      <w:r w:rsidR="00172D14">
        <w:rPr>
          <w:rFonts w:ascii="Arial" w:hAnsi="Arial" w:cs="Arial"/>
        </w:rPr>
        <w:t xml:space="preserve">additional </w:t>
      </w:r>
      <w:r w:rsidRPr="0033237B">
        <w:rPr>
          <w:rFonts w:ascii="Arial" w:hAnsi="Arial" w:cs="Arial"/>
        </w:rPr>
        <w:t>high-quality research</w:t>
      </w:r>
      <w:r w:rsidR="007C773C">
        <w:rPr>
          <w:rFonts w:ascii="Arial" w:hAnsi="Arial" w:cs="Arial"/>
        </w:rPr>
        <w:t xml:space="preserve">, </w:t>
      </w:r>
      <w:r w:rsidRPr="0033237B">
        <w:rPr>
          <w:rFonts w:ascii="Arial" w:hAnsi="Arial" w:cs="Arial"/>
        </w:rPr>
        <w:t xml:space="preserve">especially prospective studies with stronger exposure assessment, rigorous control of key confounders (including nutrition and co-exposures), and mechanistic </w:t>
      </w:r>
      <w:r w:rsidR="00AD1F22">
        <w:rPr>
          <w:rFonts w:ascii="Arial" w:hAnsi="Arial" w:cs="Arial"/>
        </w:rPr>
        <w:t>research</w:t>
      </w:r>
      <w:r w:rsidRPr="0033237B">
        <w:rPr>
          <w:rFonts w:ascii="Arial" w:hAnsi="Arial" w:cs="Arial"/>
        </w:rPr>
        <w:t xml:space="preserve"> that can clarify biological plausibility and dose relevance</w:t>
      </w:r>
      <w:r w:rsidR="00B91403">
        <w:rPr>
          <w:rFonts w:ascii="Arial" w:hAnsi="Arial" w:cs="Arial"/>
        </w:rPr>
        <w:t xml:space="preserve">, </w:t>
      </w:r>
      <w:r w:rsidRPr="0033237B">
        <w:rPr>
          <w:rFonts w:ascii="Arial" w:hAnsi="Arial" w:cs="Arial"/>
        </w:rPr>
        <w:t>so that future evaluations can be based on more robust and internally consistent evidence.</w:t>
      </w:r>
      <w:r w:rsidR="00B91403">
        <w:rPr>
          <w:rFonts w:ascii="Arial" w:hAnsi="Arial" w:cs="Arial"/>
        </w:rPr>
        <w:t xml:space="preserve"> IADR stands ready to work with the ECHA </w:t>
      </w:r>
      <w:r w:rsidR="00F40963">
        <w:rPr>
          <w:rFonts w:ascii="Arial" w:hAnsi="Arial" w:cs="Arial"/>
        </w:rPr>
        <w:t xml:space="preserve">to further </w:t>
      </w:r>
      <w:r w:rsidR="009C20F6">
        <w:rPr>
          <w:rFonts w:ascii="Arial" w:hAnsi="Arial" w:cs="Arial"/>
        </w:rPr>
        <w:t>define and clarify</w:t>
      </w:r>
      <w:r w:rsidR="00F40963">
        <w:rPr>
          <w:rFonts w:ascii="Arial" w:hAnsi="Arial" w:cs="Arial"/>
        </w:rPr>
        <w:t xml:space="preserve"> the impact of fluoride on human health.</w:t>
      </w:r>
      <w:r w:rsidRPr="0033237B">
        <w:rPr>
          <w:rFonts w:ascii="Arial" w:hAnsi="Arial" w:cs="Arial"/>
          <w:vanish/>
        </w:rPr>
        <w:t>Top of Form</w:t>
      </w:r>
    </w:p>
    <w:p w14:paraId="63050D08" w14:textId="77777777" w:rsidR="008D6DCA" w:rsidRPr="00213692" w:rsidRDefault="002109A5" w:rsidP="008D6DCA">
      <w:pPr>
        <w:rPr>
          <w:rFonts w:ascii="Arial" w:hAnsi="Arial" w:cs="Arial"/>
        </w:rPr>
      </w:pPr>
      <w:r>
        <w:rPr>
          <w:rFonts w:ascii="Arial" w:hAnsi="Arial" w:cs="Arial"/>
        </w:rPr>
        <w:t>T</w:t>
      </w:r>
      <w:r w:rsidR="008C2824">
        <w:rPr>
          <w:rFonts w:ascii="Arial" w:hAnsi="Arial" w:cs="Arial"/>
        </w:rPr>
        <w:t>he IADR t</w:t>
      </w:r>
      <w:r>
        <w:rPr>
          <w:rFonts w:ascii="Arial" w:hAnsi="Arial" w:cs="Arial"/>
        </w:rPr>
        <w:t>hank</w:t>
      </w:r>
      <w:r w:rsidR="008C2824">
        <w:rPr>
          <w:rFonts w:ascii="Arial" w:hAnsi="Arial" w:cs="Arial"/>
        </w:rPr>
        <w:t xml:space="preserve">s the </w:t>
      </w:r>
      <w:r w:rsidR="00266A2E" w:rsidRPr="003C1E79">
        <w:rPr>
          <w:rFonts w:ascii="Arial" w:hAnsi="Arial" w:cs="Arial"/>
        </w:rPr>
        <w:t>European Chemicals Agency</w:t>
      </w:r>
      <w:r w:rsidR="008C2824">
        <w:rPr>
          <w:rFonts w:ascii="Arial" w:hAnsi="Arial" w:cs="Arial"/>
        </w:rPr>
        <w:t xml:space="preserve"> for the opportunity to provide</w:t>
      </w:r>
      <w:r w:rsidR="00266A2E">
        <w:rPr>
          <w:rFonts w:ascii="Arial" w:hAnsi="Arial" w:cs="Arial"/>
        </w:rPr>
        <w:t xml:space="preserve"> these</w:t>
      </w:r>
      <w:r w:rsidR="008C2824">
        <w:rPr>
          <w:rFonts w:ascii="Arial" w:hAnsi="Arial" w:cs="Arial"/>
        </w:rPr>
        <w:t xml:space="preserve"> </w:t>
      </w:r>
      <w:r w:rsidR="00266A2E">
        <w:rPr>
          <w:rFonts w:ascii="Arial" w:hAnsi="Arial" w:cs="Arial"/>
        </w:rPr>
        <w:t xml:space="preserve">comments. </w:t>
      </w:r>
      <w:r w:rsidR="008D6DCA" w:rsidRPr="00213692">
        <w:rPr>
          <w:rFonts w:ascii="Arial" w:hAnsi="Arial" w:cs="Arial"/>
        </w:rPr>
        <w:t xml:space="preserve">If you have any further questions, please contact Dr. Makyba Charles-Ayinde, Director of Science Policy, at </w:t>
      </w:r>
      <w:hyperlink r:id="rId15" w:history="1">
        <w:r w:rsidR="008D6DCA" w:rsidRPr="00213692">
          <w:rPr>
            <w:rStyle w:val="Hyperlink"/>
            <w:rFonts w:ascii="Arial" w:hAnsi="Arial" w:cs="Arial"/>
          </w:rPr>
          <w:t>mcayinde@iadr.org</w:t>
        </w:r>
      </w:hyperlink>
      <w:r w:rsidR="008D6DCA" w:rsidRPr="00213692">
        <w:rPr>
          <w:rFonts w:ascii="Arial" w:hAnsi="Arial" w:cs="Arial"/>
        </w:rPr>
        <w:t>.</w:t>
      </w:r>
    </w:p>
    <w:p w14:paraId="7D54008E" w14:textId="77777777" w:rsidR="00A529E8" w:rsidRDefault="00A529E8" w:rsidP="008D6DCA">
      <w:pPr>
        <w:rPr>
          <w:rFonts w:ascii="Arial" w:hAnsi="Arial" w:cs="Arial"/>
        </w:rPr>
      </w:pPr>
    </w:p>
    <w:p w14:paraId="7C9EDEB6" w14:textId="77777777" w:rsidR="00E62A14" w:rsidRDefault="00E62A14" w:rsidP="008D6DCA">
      <w:pPr>
        <w:rPr>
          <w:rFonts w:ascii="Arial" w:hAnsi="Arial" w:cs="Arial"/>
        </w:rPr>
      </w:pPr>
    </w:p>
    <w:p w14:paraId="5EAE4E2E" w14:textId="2BB0B672" w:rsidR="008D6DCA" w:rsidRDefault="008D6DCA" w:rsidP="008D6DCA">
      <w:pPr>
        <w:rPr>
          <w:rFonts w:ascii="Arial" w:hAnsi="Arial" w:cs="Arial"/>
        </w:rPr>
      </w:pPr>
      <w:r w:rsidRPr="00213692">
        <w:rPr>
          <w:rFonts w:ascii="Arial" w:hAnsi="Arial" w:cs="Arial"/>
        </w:rPr>
        <w:t>Sincerely,</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p>
    <w:p w14:paraId="2092CB60" w14:textId="77777777" w:rsidR="00407F91" w:rsidRDefault="00E62A14" w:rsidP="008D6DCA">
      <w:pPr>
        <w:rPr>
          <w:rFonts w:ascii="Arial" w:hAnsi="Arial" w:cs="Arial"/>
          <w:noProof/>
        </w:rPr>
      </w:pPr>
      <w:r>
        <w:rPr>
          <w:rFonts w:ascii="Arial" w:hAnsi="Arial" w:cs="Arial"/>
          <w:noProof/>
        </w:rPr>
        <w:lastRenderedPageBreak/>
        <w:drawing>
          <wp:inline distT="0" distB="0" distL="0" distR="0" wp14:anchorId="3475B156" wp14:editId="74DAE4CA">
            <wp:extent cx="1873250" cy="571028"/>
            <wp:effectExtent l="0" t="0" r="0" b="635"/>
            <wp:docPr id="2114963532" name="Picture 4"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63532" name="Picture 4" descr="A close-up of a signature&#10;&#10;AI-generated content may be incorrect."/>
                    <pic:cNvPicPr/>
                  </pic:nvPicPr>
                  <pic:blipFill rotWithShape="1">
                    <a:blip r:embed="rId16" cstate="print">
                      <a:extLst>
                        <a:ext uri="{28A0092B-C50C-407E-A947-70E740481C1C}">
                          <a14:useLocalDpi xmlns:a14="http://schemas.microsoft.com/office/drawing/2010/main" val="0"/>
                        </a:ext>
                      </a:extLst>
                    </a:blip>
                    <a:srcRect l="8226" t="19065" r="5555" b="14877"/>
                    <a:stretch>
                      <a:fillRect/>
                    </a:stretch>
                  </pic:blipFill>
                  <pic:spPr bwMode="auto">
                    <a:xfrm>
                      <a:off x="0" y="0"/>
                      <a:ext cx="1895367" cy="57777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noProof/>
        </w:rPr>
        <w:tab/>
      </w:r>
      <w:r w:rsidR="00407F91">
        <w:rPr>
          <w:rFonts w:ascii="Arial" w:hAnsi="Arial" w:cs="Arial"/>
          <w:noProof/>
        </w:rPr>
        <w:tab/>
      </w:r>
      <w:r w:rsidR="00407F91">
        <w:rPr>
          <w:rFonts w:ascii="Arial" w:hAnsi="Arial" w:cs="Arial"/>
          <w:noProof/>
        </w:rPr>
        <w:tab/>
      </w:r>
      <w:r w:rsidR="00407F91">
        <w:rPr>
          <w:rFonts w:ascii="Arial" w:hAnsi="Arial" w:cs="Arial"/>
          <w:noProof/>
        </w:rPr>
        <w:tab/>
      </w:r>
      <w:r w:rsidR="00407F91">
        <w:rPr>
          <w:noProof/>
        </w:rPr>
        <w:drawing>
          <wp:inline distT="0" distB="0" distL="0" distR="0" wp14:anchorId="5B79BF37" wp14:editId="3A90D5E0">
            <wp:extent cx="1389710" cy="596206"/>
            <wp:effectExtent l="0" t="0" r="1270" b="0"/>
            <wp:docPr id="1047519962" name="Picture 5"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519962" name="Picture 5" descr="A close-up of a signature&#10;&#10;AI-generated content may be incorrect."/>
                    <pic:cNvPicPr>
                      <a:picLocks noChangeAspect="1" noChangeArrowheads="1"/>
                    </pic:cNvPicPr>
                  </pic:nvPicPr>
                  <pic:blipFill rotWithShape="1">
                    <a:blip r:embed="rId17" r:link="rId18" cstate="print">
                      <a:extLst>
                        <a:ext uri="{28A0092B-C50C-407E-A947-70E740481C1C}">
                          <a14:useLocalDpi xmlns:a14="http://schemas.microsoft.com/office/drawing/2010/main" val="0"/>
                        </a:ext>
                      </a:extLst>
                    </a:blip>
                    <a:srcRect l="7698" r="8296"/>
                    <a:stretch>
                      <a:fillRect/>
                    </a:stretch>
                  </pic:blipFill>
                  <pic:spPr bwMode="auto">
                    <a:xfrm>
                      <a:off x="0" y="0"/>
                      <a:ext cx="1411019" cy="605348"/>
                    </a:xfrm>
                    <a:prstGeom prst="rect">
                      <a:avLst/>
                    </a:prstGeom>
                    <a:noFill/>
                    <a:ln>
                      <a:noFill/>
                    </a:ln>
                    <a:extLst>
                      <a:ext uri="{53640926-AAD7-44D8-BBD7-CCE9431645EC}">
                        <a14:shadowObscured xmlns:a14="http://schemas.microsoft.com/office/drawing/2010/main"/>
                      </a:ext>
                    </a:extLst>
                  </pic:spPr>
                </pic:pic>
              </a:graphicData>
            </a:graphic>
          </wp:inline>
        </w:drawing>
      </w:r>
    </w:p>
    <w:p w14:paraId="5FFA318C" w14:textId="3A3BBB72" w:rsidR="008D6DCA" w:rsidRPr="00FB1564" w:rsidRDefault="008D6DCA" w:rsidP="008D6DCA">
      <w:pPr>
        <w:rPr>
          <w:rFonts w:ascii="Arial" w:hAnsi="Arial" w:cs="Arial"/>
          <w:noProof/>
        </w:rPr>
      </w:pPr>
      <w:r w:rsidRPr="00D92329">
        <w:rPr>
          <w:rFonts w:ascii="Arial" w:hAnsi="Arial" w:cs="Arial"/>
        </w:rPr>
        <w:t xml:space="preserve">Christopher H. Fox, DMD, </w:t>
      </w:r>
      <w:proofErr w:type="spellStart"/>
      <w:r w:rsidRPr="00D92329">
        <w:rPr>
          <w:rFonts w:ascii="Arial" w:hAnsi="Arial" w:cs="Arial"/>
        </w:rPr>
        <w:t>DMSc</w:t>
      </w:r>
      <w:proofErr w:type="spellEnd"/>
      <w:r w:rsidRPr="00D92329">
        <w:rPr>
          <w:rFonts w:ascii="Arial" w:hAnsi="Arial" w:cs="Arial"/>
        </w:rPr>
        <w:tab/>
      </w:r>
      <w:r w:rsidRPr="00D92329">
        <w:rPr>
          <w:rFonts w:ascii="Arial" w:hAnsi="Arial" w:cs="Arial"/>
        </w:rPr>
        <w:tab/>
      </w:r>
      <w:r w:rsidRPr="00D92329">
        <w:rPr>
          <w:rFonts w:ascii="Arial" w:hAnsi="Arial" w:cs="Arial"/>
        </w:rPr>
        <w:tab/>
      </w:r>
      <w:r w:rsidRPr="00D92329">
        <w:rPr>
          <w:rFonts w:ascii="Arial" w:hAnsi="Arial" w:cs="Arial"/>
        </w:rPr>
        <w:tab/>
      </w:r>
      <w:r>
        <w:rPr>
          <w:rFonts w:ascii="Arial" w:hAnsi="Arial" w:cs="Arial"/>
        </w:rPr>
        <w:t xml:space="preserve"> Pamela C. Yelick</w:t>
      </w:r>
      <w:r w:rsidRPr="00D92329">
        <w:rPr>
          <w:rFonts w:ascii="Arial" w:hAnsi="Arial" w:cs="Arial"/>
        </w:rPr>
        <w:t xml:space="preserve">, </w:t>
      </w:r>
      <w:r>
        <w:rPr>
          <w:rFonts w:ascii="Arial" w:hAnsi="Arial" w:cs="Arial"/>
        </w:rPr>
        <w:t>Ph.D.</w:t>
      </w:r>
      <w:r w:rsidRPr="00D92329">
        <w:rPr>
          <w:rFonts w:ascii="Arial" w:hAnsi="Arial" w:cs="Arial"/>
        </w:rPr>
        <w:tab/>
      </w:r>
    </w:p>
    <w:p w14:paraId="6D7DC8A9" w14:textId="223A4C99" w:rsidR="0033237B" w:rsidRPr="00642058" w:rsidRDefault="008D6DCA" w:rsidP="00642058">
      <w:pPr>
        <w:rPr>
          <w:rFonts w:ascii="Arial" w:hAnsi="Arial" w:cs="Arial"/>
        </w:rPr>
      </w:pPr>
      <w:r w:rsidRPr="006F2B64">
        <w:rPr>
          <w:rFonts w:ascii="Arial" w:hAnsi="Arial" w:cs="Arial"/>
        </w:rPr>
        <w:t xml:space="preserve">Chief Executive Officer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Presiden</w:t>
      </w:r>
      <w:r w:rsidR="00C82D72">
        <w:rPr>
          <w:rFonts w:ascii="Arial" w:hAnsi="Arial" w:cs="Arial"/>
        </w:rPr>
        <w:t>t</w:t>
      </w:r>
      <w:r w:rsidR="0033237B" w:rsidRPr="0033237B">
        <w:rPr>
          <w:rFonts w:ascii="Arial" w:hAnsi="Arial" w:cs="Arial"/>
          <w:vanish/>
        </w:rPr>
        <w:t>Bottom of Form</w:t>
      </w:r>
    </w:p>
    <w:p w14:paraId="6537B2BD" w14:textId="77777777" w:rsidR="00A529E8" w:rsidRDefault="00A529E8">
      <w:pPr>
        <w:spacing w:after="160" w:line="259" w:lineRule="auto"/>
        <w:rPr>
          <w:rFonts w:ascii="Arial" w:hAnsi="Arial" w:cs="Arial"/>
          <w:b/>
          <w:bCs/>
        </w:rPr>
      </w:pPr>
      <w:r>
        <w:rPr>
          <w:rFonts w:ascii="Arial" w:hAnsi="Arial" w:cs="Arial"/>
          <w:b/>
          <w:bCs/>
        </w:rPr>
        <w:br w:type="page"/>
      </w:r>
    </w:p>
    <w:p w14:paraId="513FF42C" w14:textId="19C63DA5" w:rsidR="0035430A" w:rsidRPr="0019151D" w:rsidRDefault="0092520B" w:rsidP="007056BB">
      <w:pPr>
        <w:rPr>
          <w:rFonts w:ascii="Arial" w:hAnsi="Arial" w:cs="Arial"/>
          <w:b/>
          <w:bCs/>
        </w:rPr>
      </w:pPr>
      <w:r w:rsidRPr="0019151D">
        <w:rPr>
          <w:rFonts w:ascii="Arial" w:hAnsi="Arial" w:cs="Arial"/>
          <w:b/>
          <w:bCs/>
        </w:rPr>
        <w:lastRenderedPageBreak/>
        <w:t>References</w:t>
      </w:r>
    </w:p>
    <w:p w14:paraId="18597C3B" w14:textId="77777777" w:rsidR="0092520B" w:rsidRPr="0019151D" w:rsidRDefault="0092520B" w:rsidP="007056BB">
      <w:pPr>
        <w:rPr>
          <w:rFonts w:ascii="Arial" w:hAnsi="Arial" w:cs="Arial"/>
        </w:rPr>
      </w:pPr>
    </w:p>
    <w:p w14:paraId="6C3018C5" w14:textId="76597B0E" w:rsidR="0019151D" w:rsidRPr="0019151D" w:rsidRDefault="0019151D" w:rsidP="0019151D">
      <w:pPr>
        <w:rPr>
          <w:rFonts w:ascii="Arial" w:hAnsi="Arial" w:cs="Arial"/>
        </w:rPr>
      </w:pPr>
      <w:r w:rsidRPr="0019151D">
        <w:rPr>
          <w:rFonts w:ascii="Arial" w:hAnsi="Arial" w:cs="Arial"/>
        </w:rPr>
        <w:t xml:space="preserve">Crippa A, Orsini N. </w:t>
      </w:r>
      <w:r>
        <w:rPr>
          <w:rFonts w:ascii="Arial" w:hAnsi="Arial" w:cs="Arial"/>
        </w:rPr>
        <w:t xml:space="preserve">(2016). </w:t>
      </w:r>
      <w:r w:rsidRPr="0019151D">
        <w:rPr>
          <w:rFonts w:ascii="Arial" w:hAnsi="Arial" w:cs="Arial"/>
        </w:rPr>
        <w:t xml:space="preserve">Dose-response meta-analysis of differences in means. </w:t>
      </w:r>
      <w:r w:rsidRPr="0019151D">
        <w:rPr>
          <w:rFonts w:ascii="Arial" w:hAnsi="Arial" w:cs="Arial"/>
          <w:i/>
          <w:iCs/>
        </w:rPr>
        <w:t xml:space="preserve">BMC Med Res </w:t>
      </w:r>
      <w:proofErr w:type="spellStart"/>
      <w:r w:rsidRPr="0019151D">
        <w:rPr>
          <w:rFonts w:ascii="Arial" w:hAnsi="Arial" w:cs="Arial"/>
          <w:i/>
          <w:iCs/>
        </w:rPr>
        <w:t>Methodol</w:t>
      </w:r>
      <w:proofErr w:type="spellEnd"/>
      <w:r w:rsidRPr="0019151D">
        <w:rPr>
          <w:rFonts w:ascii="Arial" w:hAnsi="Arial" w:cs="Arial"/>
        </w:rPr>
        <w:t xml:space="preserve">. 16(1):91. </w:t>
      </w:r>
    </w:p>
    <w:p w14:paraId="4BA517A9" w14:textId="77777777" w:rsidR="0019151D" w:rsidRDefault="0019151D" w:rsidP="0019151D">
      <w:pPr>
        <w:rPr>
          <w:rFonts w:ascii="Arial" w:hAnsi="Arial" w:cs="Arial"/>
        </w:rPr>
      </w:pPr>
    </w:p>
    <w:p w14:paraId="092FCD3F" w14:textId="1E3238BA" w:rsidR="00057A3D" w:rsidRDefault="00057A3D" w:rsidP="00880B11">
      <w:pPr>
        <w:tabs>
          <w:tab w:val="left" w:pos="1395"/>
          <w:tab w:val="left" w:pos="2695"/>
          <w:tab w:val="left" w:pos="3935"/>
          <w:tab w:val="left" w:pos="4755"/>
          <w:tab w:val="left" w:pos="6255"/>
          <w:tab w:val="left" w:pos="8266"/>
          <w:tab w:val="left" w:pos="10016"/>
          <w:tab w:val="left" w:pos="11146"/>
          <w:tab w:val="left" w:pos="12219"/>
          <w:tab w:val="left" w:pos="13227"/>
          <w:tab w:val="left" w:pos="14787"/>
          <w:tab w:val="left" w:pos="16087"/>
          <w:tab w:val="left" w:pos="17107"/>
          <w:tab w:val="left" w:pos="18147"/>
          <w:tab w:val="left" w:pos="21224"/>
        </w:tabs>
        <w:rPr>
          <w:rFonts w:ascii="Arial" w:hAnsi="Arial" w:cs="Arial"/>
        </w:rPr>
      </w:pPr>
      <w:r>
        <w:rPr>
          <w:rFonts w:ascii="Arial" w:hAnsi="Arial" w:cs="Arial"/>
        </w:rPr>
        <w:t>European Chemicals Agency. (2017). Reproductive toxicity – classification under CLP (</w:t>
      </w:r>
      <w:r w:rsidR="00505381">
        <w:rPr>
          <w:rFonts w:ascii="Arial" w:hAnsi="Arial" w:cs="Arial"/>
        </w:rPr>
        <w:t>R</w:t>
      </w:r>
      <w:r>
        <w:rPr>
          <w:rFonts w:ascii="Arial" w:hAnsi="Arial" w:cs="Arial"/>
        </w:rPr>
        <w:t>egulation (EC) no 1272/2008</w:t>
      </w:r>
      <w:r w:rsidR="008A64BE">
        <w:rPr>
          <w:rFonts w:ascii="Arial" w:hAnsi="Arial" w:cs="Arial"/>
        </w:rPr>
        <w:t xml:space="preserve"> on Classification, Labelling, and Packaging of chemicals). Retrieved from: </w:t>
      </w:r>
      <w:hyperlink r:id="rId19" w:history="1">
        <w:r w:rsidR="008A64BE" w:rsidRPr="00880839">
          <w:rPr>
            <w:rStyle w:val="Hyperlink"/>
            <w:rFonts w:ascii="Arial" w:hAnsi="Arial" w:cs="Arial"/>
          </w:rPr>
          <w:t>https://hesiglobal.org/wp-content/uploads/sites/11/2017/10/ECHA-Persepctive-on-CLP-Cat-R_Kait-Hellsten.pdf</w:t>
        </w:r>
      </w:hyperlink>
      <w:r w:rsidR="008A64BE">
        <w:rPr>
          <w:rFonts w:ascii="Arial" w:hAnsi="Arial" w:cs="Arial"/>
        </w:rPr>
        <w:t>. Accessed on January 13, 2026.</w:t>
      </w:r>
    </w:p>
    <w:p w14:paraId="3089BD02" w14:textId="77777777" w:rsidR="00057A3D" w:rsidRDefault="00057A3D" w:rsidP="00880B11">
      <w:pPr>
        <w:tabs>
          <w:tab w:val="left" w:pos="1395"/>
          <w:tab w:val="left" w:pos="2695"/>
          <w:tab w:val="left" w:pos="3935"/>
          <w:tab w:val="left" w:pos="4755"/>
          <w:tab w:val="left" w:pos="6255"/>
          <w:tab w:val="left" w:pos="8266"/>
          <w:tab w:val="left" w:pos="10016"/>
          <w:tab w:val="left" w:pos="11146"/>
          <w:tab w:val="left" w:pos="12219"/>
          <w:tab w:val="left" w:pos="13227"/>
          <w:tab w:val="left" w:pos="14787"/>
          <w:tab w:val="left" w:pos="16087"/>
          <w:tab w:val="left" w:pos="17107"/>
          <w:tab w:val="left" w:pos="18147"/>
          <w:tab w:val="left" w:pos="21224"/>
        </w:tabs>
        <w:rPr>
          <w:rFonts w:ascii="Arial" w:hAnsi="Arial" w:cs="Arial"/>
        </w:rPr>
      </w:pPr>
    </w:p>
    <w:p w14:paraId="512F2DED" w14:textId="27FF536A" w:rsidR="00880B11" w:rsidRDefault="00DA09AA" w:rsidP="00880B11">
      <w:pPr>
        <w:tabs>
          <w:tab w:val="left" w:pos="1395"/>
          <w:tab w:val="left" w:pos="2695"/>
          <w:tab w:val="left" w:pos="3935"/>
          <w:tab w:val="left" w:pos="4755"/>
          <w:tab w:val="left" w:pos="6255"/>
          <w:tab w:val="left" w:pos="8266"/>
          <w:tab w:val="left" w:pos="10016"/>
          <w:tab w:val="left" w:pos="11146"/>
          <w:tab w:val="left" w:pos="12219"/>
          <w:tab w:val="left" w:pos="13227"/>
          <w:tab w:val="left" w:pos="14787"/>
          <w:tab w:val="left" w:pos="16087"/>
          <w:tab w:val="left" w:pos="17107"/>
          <w:tab w:val="left" w:pos="18147"/>
          <w:tab w:val="left" w:pos="21224"/>
        </w:tabs>
        <w:rPr>
          <w:rFonts w:ascii="Arial" w:hAnsi="Arial" w:cs="Arial"/>
        </w:rPr>
      </w:pPr>
      <w:r>
        <w:rPr>
          <w:rFonts w:ascii="Arial" w:hAnsi="Arial" w:cs="Arial"/>
        </w:rPr>
        <w:t xml:space="preserve">European Chemicals Agency. (2024). Guidance on the Application of the CLP </w:t>
      </w:r>
      <w:r w:rsidR="0080274A">
        <w:rPr>
          <w:rFonts w:ascii="Arial" w:hAnsi="Arial" w:cs="Arial"/>
        </w:rPr>
        <w:t xml:space="preserve">Criteria, Part 3: Health Hazards. </w:t>
      </w:r>
      <w:r w:rsidR="0080274A" w:rsidRPr="0080274A">
        <w:rPr>
          <w:rFonts w:ascii="Arial" w:hAnsi="Arial" w:cs="Arial"/>
        </w:rPr>
        <w:t xml:space="preserve">Guidance </w:t>
      </w:r>
      <w:proofErr w:type="gramStart"/>
      <w:r w:rsidR="0080274A" w:rsidRPr="0080274A">
        <w:rPr>
          <w:rFonts w:ascii="Arial" w:hAnsi="Arial" w:cs="Arial"/>
        </w:rPr>
        <w:t>to</w:t>
      </w:r>
      <w:proofErr w:type="gramEnd"/>
      <w:r w:rsidR="0080274A" w:rsidRPr="0080274A">
        <w:rPr>
          <w:rFonts w:ascii="Arial" w:hAnsi="Arial" w:cs="Arial"/>
        </w:rPr>
        <w:t xml:space="preserve"> Regulation (EC) No 1272/2008 on classification, labelling</w:t>
      </w:r>
      <w:r w:rsidR="0080274A">
        <w:rPr>
          <w:rFonts w:ascii="Arial" w:hAnsi="Arial" w:cs="Arial"/>
        </w:rPr>
        <w:t xml:space="preserve"> </w:t>
      </w:r>
      <w:r w:rsidR="0080274A" w:rsidRPr="0080274A">
        <w:rPr>
          <w:rFonts w:ascii="Arial" w:hAnsi="Arial" w:cs="Arial"/>
        </w:rPr>
        <w:t>and packaging (CLP) of substances and mixtures</w:t>
      </w:r>
      <w:r w:rsidR="0080274A">
        <w:rPr>
          <w:rFonts w:ascii="Arial" w:hAnsi="Arial" w:cs="Arial"/>
        </w:rPr>
        <w:t xml:space="preserve">. </w:t>
      </w:r>
      <w:r w:rsidR="0080274A" w:rsidRPr="0080274A">
        <w:rPr>
          <w:rFonts w:ascii="Arial" w:hAnsi="Arial" w:cs="Arial"/>
        </w:rPr>
        <w:t>Version 5.0</w:t>
      </w:r>
      <w:r w:rsidR="0080274A">
        <w:rPr>
          <w:rFonts w:ascii="Arial" w:hAnsi="Arial" w:cs="Arial"/>
        </w:rPr>
        <w:t xml:space="preserve">. Retrieved from: </w:t>
      </w:r>
      <w:hyperlink r:id="rId20" w:history="1">
        <w:r w:rsidR="00880B11" w:rsidRPr="00880839">
          <w:rPr>
            <w:rStyle w:val="Hyperlink"/>
            <w:rFonts w:ascii="Arial" w:hAnsi="Arial" w:cs="Arial"/>
          </w:rPr>
          <w:t>https://echa.europa.eu/documents/10162/2324906/clp_part3_en.pdf/42e0397a-73f2-0583-958f-3830928e1604?t=1730718832043</w:t>
        </w:r>
      </w:hyperlink>
      <w:r w:rsidR="00880B11">
        <w:rPr>
          <w:rFonts w:ascii="Arial" w:hAnsi="Arial" w:cs="Arial"/>
        </w:rPr>
        <w:t xml:space="preserve">. Accessed on January 5, 2026. </w:t>
      </w:r>
    </w:p>
    <w:p w14:paraId="36DA41A6" w14:textId="77777777" w:rsidR="004354A0" w:rsidRDefault="004354A0" w:rsidP="00C36FB2">
      <w:pPr>
        <w:rPr>
          <w:rFonts w:ascii="Arial" w:hAnsi="Arial" w:cs="Arial"/>
        </w:rPr>
      </w:pPr>
    </w:p>
    <w:p w14:paraId="4ED4D5F2" w14:textId="41208048" w:rsidR="00C36FB2" w:rsidRPr="00C36FB2" w:rsidRDefault="00C36FB2" w:rsidP="00C36FB2">
      <w:pPr>
        <w:rPr>
          <w:rFonts w:ascii="Arial" w:hAnsi="Arial" w:cs="Arial"/>
        </w:rPr>
      </w:pPr>
      <w:proofErr w:type="spellStart"/>
      <w:r w:rsidRPr="00C36FB2">
        <w:rPr>
          <w:rFonts w:ascii="Arial" w:hAnsi="Arial" w:cs="Arial"/>
        </w:rPr>
        <w:t>Farmus</w:t>
      </w:r>
      <w:proofErr w:type="spellEnd"/>
      <w:r w:rsidRPr="00C36FB2">
        <w:rPr>
          <w:rFonts w:ascii="Arial" w:hAnsi="Arial" w:cs="Arial"/>
        </w:rPr>
        <w:t xml:space="preserve"> L, Till C, Green R, Hornung R, Martinez Mier EA, Ayotte P, Muckle G, Lanphear BP, Flora DB. </w:t>
      </w:r>
      <w:r>
        <w:rPr>
          <w:rFonts w:ascii="Arial" w:hAnsi="Arial" w:cs="Arial"/>
        </w:rPr>
        <w:t xml:space="preserve">(2022). </w:t>
      </w:r>
      <w:r w:rsidRPr="00C36FB2">
        <w:rPr>
          <w:rFonts w:ascii="Arial" w:hAnsi="Arial" w:cs="Arial"/>
        </w:rPr>
        <w:t xml:space="preserve">ADDENDUM: Critical windows of fluoride neurotoxicity in Canadian Children. </w:t>
      </w:r>
      <w:r w:rsidRPr="00C36FB2">
        <w:rPr>
          <w:rFonts w:ascii="Arial" w:hAnsi="Arial" w:cs="Arial"/>
          <w:i/>
          <w:iCs/>
        </w:rPr>
        <w:t>Environ Res</w:t>
      </w:r>
      <w:r w:rsidRPr="00C36FB2">
        <w:rPr>
          <w:rFonts w:ascii="Arial" w:hAnsi="Arial" w:cs="Arial"/>
        </w:rPr>
        <w:t xml:space="preserve">. 215(Pt. 3):114468. </w:t>
      </w:r>
    </w:p>
    <w:p w14:paraId="6D879F4A" w14:textId="77777777" w:rsidR="00C36FB2" w:rsidRDefault="00C36FB2" w:rsidP="0019151D">
      <w:pPr>
        <w:rPr>
          <w:rFonts w:ascii="Arial" w:hAnsi="Arial" w:cs="Arial"/>
        </w:rPr>
      </w:pPr>
    </w:p>
    <w:p w14:paraId="1A9AC546" w14:textId="6206CB98" w:rsidR="00441785" w:rsidRDefault="00441785" w:rsidP="0009585F">
      <w:pPr>
        <w:rPr>
          <w:rFonts w:ascii="Arial" w:hAnsi="Arial" w:cs="Arial"/>
        </w:rPr>
      </w:pPr>
      <w:r w:rsidRPr="00441785">
        <w:rPr>
          <w:rFonts w:ascii="Arial" w:hAnsi="Arial" w:cs="Arial"/>
        </w:rPr>
        <w:t xml:space="preserve">Grandjean, P., </w:t>
      </w:r>
      <w:proofErr w:type="spellStart"/>
      <w:r w:rsidRPr="00441785">
        <w:rPr>
          <w:rFonts w:ascii="Arial" w:hAnsi="Arial" w:cs="Arial"/>
        </w:rPr>
        <w:t>Meddis</w:t>
      </w:r>
      <w:proofErr w:type="spellEnd"/>
      <w:r w:rsidRPr="00441785">
        <w:rPr>
          <w:rFonts w:ascii="Arial" w:hAnsi="Arial" w:cs="Arial"/>
        </w:rPr>
        <w:t>, A., Nielsen, F., Beck, I. H., Bilenberg, N., Goodman, C. V., Hu, H., Till, C., &amp; Budtz-Jørgensen, E. (2024).</w:t>
      </w:r>
      <w:r w:rsidR="00630C89">
        <w:rPr>
          <w:rFonts w:ascii="Arial" w:hAnsi="Arial" w:cs="Arial"/>
        </w:rPr>
        <w:t xml:space="preserve"> </w:t>
      </w:r>
      <w:r w:rsidR="00630C89" w:rsidRPr="00630C89">
        <w:rPr>
          <w:rFonts w:ascii="Arial" w:hAnsi="Arial" w:cs="Arial"/>
        </w:rPr>
        <w:t>Dose dependence of prenatal fluoride exposure associations with cognitive performance at school age in three prospective studies.</w:t>
      </w:r>
      <w:r w:rsidRPr="00630C89">
        <w:rPr>
          <w:rFonts w:ascii="Arial" w:hAnsi="Arial" w:cs="Arial"/>
        </w:rPr>
        <w:t xml:space="preserve"> </w:t>
      </w:r>
      <w:proofErr w:type="spellStart"/>
      <w:r w:rsidRPr="00441785">
        <w:rPr>
          <w:rFonts w:ascii="Arial" w:hAnsi="Arial" w:cs="Arial"/>
          <w:i/>
          <w:iCs/>
        </w:rPr>
        <w:t>Eur</w:t>
      </w:r>
      <w:proofErr w:type="spellEnd"/>
      <w:r w:rsidRPr="00441785">
        <w:rPr>
          <w:rFonts w:ascii="Arial" w:hAnsi="Arial" w:cs="Arial"/>
          <w:i/>
          <w:iCs/>
        </w:rPr>
        <w:t xml:space="preserve"> J of </w:t>
      </w:r>
      <w:proofErr w:type="spellStart"/>
      <w:r w:rsidRPr="00441785">
        <w:rPr>
          <w:rFonts w:ascii="Arial" w:hAnsi="Arial" w:cs="Arial"/>
          <w:i/>
          <w:iCs/>
        </w:rPr>
        <w:t>Publ</w:t>
      </w:r>
      <w:proofErr w:type="spellEnd"/>
      <w:r w:rsidRPr="00441785">
        <w:rPr>
          <w:rFonts w:ascii="Arial" w:hAnsi="Arial" w:cs="Arial"/>
          <w:i/>
          <w:iCs/>
        </w:rPr>
        <w:t xml:space="preserve"> </w:t>
      </w:r>
      <w:proofErr w:type="spellStart"/>
      <w:r w:rsidRPr="00441785">
        <w:rPr>
          <w:rFonts w:ascii="Arial" w:hAnsi="Arial" w:cs="Arial"/>
          <w:i/>
          <w:iCs/>
        </w:rPr>
        <w:t>Hlth</w:t>
      </w:r>
      <w:proofErr w:type="spellEnd"/>
      <w:r>
        <w:rPr>
          <w:rFonts w:ascii="Arial" w:hAnsi="Arial" w:cs="Arial"/>
        </w:rPr>
        <w:t>.</w:t>
      </w:r>
      <w:r w:rsidRPr="00441785">
        <w:rPr>
          <w:rFonts w:ascii="Arial" w:hAnsi="Arial" w:cs="Arial"/>
        </w:rPr>
        <w:t xml:space="preserve"> 34(1)</w:t>
      </w:r>
      <w:r>
        <w:rPr>
          <w:rFonts w:ascii="Arial" w:hAnsi="Arial" w:cs="Arial"/>
        </w:rPr>
        <w:t>:</w:t>
      </w:r>
      <w:r w:rsidRPr="00441785">
        <w:rPr>
          <w:rFonts w:ascii="Arial" w:hAnsi="Arial" w:cs="Arial"/>
        </w:rPr>
        <w:t xml:space="preserve">143–149. </w:t>
      </w:r>
    </w:p>
    <w:p w14:paraId="04F9BB3C" w14:textId="77777777" w:rsidR="00441785" w:rsidRDefault="00441785" w:rsidP="0009585F">
      <w:pPr>
        <w:rPr>
          <w:rFonts w:ascii="Arial" w:hAnsi="Arial" w:cs="Arial"/>
        </w:rPr>
      </w:pPr>
    </w:p>
    <w:p w14:paraId="68B6DDEA" w14:textId="3E8EBD1C" w:rsidR="0009585F" w:rsidRPr="00C36FB2" w:rsidRDefault="0009585F" w:rsidP="0009585F">
      <w:pPr>
        <w:rPr>
          <w:rFonts w:ascii="Arial" w:hAnsi="Arial" w:cs="Arial"/>
        </w:rPr>
      </w:pPr>
      <w:r>
        <w:rPr>
          <w:rFonts w:ascii="Arial" w:hAnsi="Arial" w:cs="Arial"/>
        </w:rPr>
        <w:t xml:space="preserve">Green R. (2018). </w:t>
      </w:r>
      <w:r w:rsidRPr="00FA15C2">
        <w:rPr>
          <w:rFonts w:ascii="Arial" w:hAnsi="Arial" w:cs="Arial"/>
        </w:rPr>
        <w:t>Prenatal fluoride exposure and neurodevelopmental outcomes in a national birth cohort</w:t>
      </w:r>
      <w:r>
        <w:rPr>
          <w:rFonts w:ascii="Arial" w:hAnsi="Arial" w:cs="Arial"/>
        </w:rPr>
        <w:t xml:space="preserve"> [thesis]. Toronto, Ontario: York University.  Available from: </w:t>
      </w:r>
      <w:r w:rsidRPr="00FA15C2">
        <w:rPr>
          <w:rFonts w:ascii="Arial" w:hAnsi="Arial" w:cs="Arial"/>
        </w:rPr>
        <w:t>https://yorkspace.library.yorku.ca/server/api/core/bitstreams/c76e89ec-188c-4fb2-8b31-2738f926cc4c/content</w:t>
      </w:r>
    </w:p>
    <w:p w14:paraId="6C608611" w14:textId="77777777" w:rsidR="0009585F" w:rsidRDefault="0009585F" w:rsidP="00CF603A">
      <w:pPr>
        <w:rPr>
          <w:rFonts w:ascii="Arial" w:hAnsi="Arial" w:cs="Arial"/>
        </w:rPr>
      </w:pPr>
    </w:p>
    <w:p w14:paraId="4BD6791D" w14:textId="6FE62D30" w:rsidR="00CF603A" w:rsidRDefault="00CF603A" w:rsidP="00CF603A">
      <w:pPr>
        <w:rPr>
          <w:rFonts w:ascii="Arial" w:hAnsi="Arial" w:cs="Arial"/>
        </w:rPr>
      </w:pPr>
      <w:r w:rsidRPr="00CF603A">
        <w:rPr>
          <w:rFonts w:ascii="Arial" w:hAnsi="Arial" w:cs="Arial"/>
        </w:rPr>
        <w:t xml:space="preserve">Guichon J, Nicolau B, </w:t>
      </w:r>
      <w:proofErr w:type="spellStart"/>
      <w:r w:rsidRPr="00CF603A">
        <w:rPr>
          <w:rFonts w:ascii="Arial" w:hAnsi="Arial" w:cs="Arial"/>
        </w:rPr>
        <w:t>Brandini</w:t>
      </w:r>
      <w:proofErr w:type="spellEnd"/>
      <w:r w:rsidRPr="00CF603A">
        <w:rPr>
          <w:rFonts w:ascii="Arial" w:hAnsi="Arial" w:cs="Arial"/>
        </w:rPr>
        <w:t xml:space="preserve"> M, Caron C, Mitchell I, D'Souza V. </w:t>
      </w:r>
      <w:r>
        <w:rPr>
          <w:rFonts w:ascii="Arial" w:hAnsi="Arial" w:cs="Arial"/>
        </w:rPr>
        <w:t>(2024</w:t>
      </w:r>
      <w:r w:rsidR="003342E1">
        <w:rPr>
          <w:rFonts w:ascii="Arial" w:hAnsi="Arial" w:cs="Arial"/>
        </w:rPr>
        <w:t>a</w:t>
      </w:r>
      <w:r>
        <w:rPr>
          <w:rFonts w:ascii="Arial" w:hAnsi="Arial" w:cs="Arial"/>
        </w:rPr>
        <w:t xml:space="preserve">). </w:t>
      </w:r>
      <w:r w:rsidRPr="00CF603A">
        <w:rPr>
          <w:rFonts w:ascii="Arial" w:hAnsi="Arial" w:cs="Arial"/>
        </w:rPr>
        <w:t xml:space="preserve">Letter to the editor regarding "Critical windows of fluoride neurotoxicity in Canadian children" by </w:t>
      </w:r>
      <w:proofErr w:type="spellStart"/>
      <w:r w:rsidRPr="00CF603A">
        <w:rPr>
          <w:rFonts w:ascii="Arial" w:hAnsi="Arial" w:cs="Arial"/>
        </w:rPr>
        <w:t>Farmus</w:t>
      </w:r>
      <w:proofErr w:type="spellEnd"/>
      <w:r w:rsidRPr="00CF603A">
        <w:rPr>
          <w:rFonts w:ascii="Arial" w:hAnsi="Arial" w:cs="Arial"/>
        </w:rPr>
        <w:t xml:space="preserve"> and colleagues. Environmental research, 111315. </w:t>
      </w:r>
      <w:hyperlink r:id="rId21" w:history="1">
        <w:r w:rsidR="002060CC" w:rsidRPr="00CF603A">
          <w:rPr>
            <w:rStyle w:val="Hyperlink"/>
            <w:rFonts w:ascii="Arial" w:hAnsi="Arial" w:cs="Arial"/>
          </w:rPr>
          <w:t>https://doi.org/10.1016/j.envres.2021.111315</w:t>
        </w:r>
      </w:hyperlink>
      <w:r w:rsidRPr="00CF603A">
        <w:rPr>
          <w:rFonts w:ascii="Arial" w:hAnsi="Arial" w:cs="Arial"/>
        </w:rPr>
        <w:t>.</w:t>
      </w:r>
      <w:r w:rsidR="002060CC">
        <w:rPr>
          <w:rFonts w:ascii="Arial" w:hAnsi="Arial" w:cs="Arial"/>
        </w:rPr>
        <w:t xml:space="preserve"> </w:t>
      </w:r>
      <w:r w:rsidRPr="00CF603A">
        <w:rPr>
          <w:rFonts w:ascii="Arial" w:hAnsi="Arial" w:cs="Arial"/>
        </w:rPr>
        <w:t xml:space="preserve">No fluoride neurotoxicity in Canadian children. </w:t>
      </w:r>
      <w:r w:rsidRPr="00CF603A">
        <w:rPr>
          <w:rFonts w:ascii="Arial" w:hAnsi="Arial" w:cs="Arial"/>
          <w:i/>
          <w:iCs/>
        </w:rPr>
        <w:t>Environ Res</w:t>
      </w:r>
      <w:r w:rsidRPr="00CF603A">
        <w:rPr>
          <w:rFonts w:ascii="Arial" w:hAnsi="Arial" w:cs="Arial"/>
        </w:rPr>
        <w:t xml:space="preserve">. 254:115232. </w:t>
      </w:r>
    </w:p>
    <w:p w14:paraId="24D3E909" w14:textId="77777777" w:rsidR="003342E1" w:rsidRDefault="003342E1" w:rsidP="00CF603A">
      <w:pPr>
        <w:rPr>
          <w:rFonts w:ascii="Arial" w:hAnsi="Arial" w:cs="Arial"/>
        </w:rPr>
      </w:pPr>
    </w:p>
    <w:p w14:paraId="3D441217" w14:textId="2314073E" w:rsidR="003342E1" w:rsidRPr="00CF603A" w:rsidRDefault="003342E1" w:rsidP="00CF603A">
      <w:pPr>
        <w:rPr>
          <w:rFonts w:ascii="Arial" w:hAnsi="Arial" w:cs="Arial"/>
        </w:rPr>
      </w:pPr>
      <w:r w:rsidRPr="003342E1">
        <w:rPr>
          <w:rFonts w:ascii="Arial" w:hAnsi="Arial" w:cs="Arial"/>
        </w:rPr>
        <w:t xml:space="preserve">Guichon JR, Cooper C, Rugg-Gunn A, Dickinson JA. </w:t>
      </w:r>
      <w:r>
        <w:rPr>
          <w:rFonts w:ascii="Arial" w:hAnsi="Arial" w:cs="Arial"/>
        </w:rPr>
        <w:t xml:space="preserve">(2024b). </w:t>
      </w:r>
      <w:r w:rsidRPr="003342E1">
        <w:rPr>
          <w:rFonts w:ascii="Arial" w:hAnsi="Arial" w:cs="Arial"/>
        </w:rPr>
        <w:t xml:space="preserve">Flawed MIREC fluoride and intelligence quotient publications: A failed attempt to undermine community water fluoridation. </w:t>
      </w:r>
      <w:r w:rsidRPr="003342E1">
        <w:rPr>
          <w:rFonts w:ascii="Arial" w:hAnsi="Arial" w:cs="Arial"/>
          <w:i/>
          <w:iCs/>
        </w:rPr>
        <w:t>Community Dent Oral Epidemiol</w:t>
      </w:r>
      <w:r w:rsidRPr="003342E1">
        <w:rPr>
          <w:rFonts w:ascii="Arial" w:hAnsi="Arial" w:cs="Arial"/>
        </w:rPr>
        <w:t xml:space="preserve">. 52(4):365-374. </w:t>
      </w:r>
    </w:p>
    <w:p w14:paraId="7B5E77DA" w14:textId="77777777" w:rsidR="00CF603A" w:rsidRDefault="00CF603A" w:rsidP="0019151D">
      <w:pPr>
        <w:rPr>
          <w:rFonts w:ascii="Arial" w:hAnsi="Arial" w:cs="Arial"/>
        </w:rPr>
      </w:pPr>
    </w:p>
    <w:p w14:paraId="0EB51FB2" w14:textId="42C0D955" w:rsidR="0019151D" w:rsidRPr="009C2D09" w:rsidRDefault="0019151D" w:rsidP="0019151D">
      <w:pPr>
        <w:rPr>
          <w:rFonts w:ascii="Arial" w:hAnsi="Arial" w:cs="Arial"/>
        </w:rPr>
      </w:pPr>
      <w:proofErr w:type="spellStart"/>
      <w:r w:rsidRPr="009C2D09">
        <w:rPr>
          <w:rFonts w:ascii="Arial" w:hAnsi="Arial" w:cs="Arial"/>
        </w:rPr>
        <w:lastRenderedPageBreak/>
        <w:t>Iamandii</w:t>
      </w:r>
      <w:proofErr w:type="spellEnd"/>
      <w:r w:rsidRPr="009C2D09">
        <w:rPr>
          <w:rFonts w:ascii="Arial" w:hAnsi="Arial" w:cs="Arial"/>
        </w:rPr>
        <w:t xml:space="preserve"> I, De Pasquale L, Giannone ME, Veneri F, Generali L, Consolo U, Birnbaum LS, </w:t>
      </w:r>
      <w:proofErr w:type="spellStart"/>
      <w:r w:rsidRPr="009C2D09">
        <w:rPr>
          <w:rFonts w:ascii="Arial" w:hAnsi="Arial" w:cs="Arial"/>
        </w:rPr>
        <w:t>Castenmiller</w:t>
      </w:r>
      <w:proofErr w:type="spellEnd"/>
      <w:r w:rsidRPr="009C2D09">
        <w:rPr>
          <w:rFonts w:ascii="Arial" w:hAnsi="Arial" w:cs="Arial"/>
        </w:rPr>
        <w:t xml:space="preserve"> J, Halldorsson TI, Filippini T, </w:t>
      </w:r>
      <w:proofErr w:type="spellStart"/>
      <w:r w:rsidRPr="009C2D09">
        <w:rPr>
          <w:rFonts w:ascii="Arial" w:hAnsi="Arial" w:cs="Arial"/>
        </w:rPr>
        <w:t>Vinceti</w:t>
      </w:r>
      <w:proofErr w:type="spellEnd"/>
      <w:r w:rsidRPr="009C2D09">
        <w:rPr>
          <w:rFonts w:ascii="Arial" w:hAnsi="Arial" w:cs="Arial"/>
        </w:rPr>
        <w:t xml:space="preserve"> M. </w:t>
      </w:r>
      <w:r>
        <w:rPr>
          <w:rFonts w:ascii="Arial" w:hAnsi="Arial" w:cs="Arial"/>
        </w:rPr>
        <w:t xml:space="preserve">(2024). </w:t>
      </w:r>
      <w:r w:rsidRPr="009C2D09">
        <w:rPr>
          <w:rFonts w:ascii="Arial" w:hAnsi="Arial" w:cs="Arial"/>
        </w:rPr>
        <w:t xml:space="preserve">Does fluoride exposure affect thyroid function? A systematic review and dose-response meta-analysis. </w:t>
      </w:r>
      <w:r w:rsidRPr="009C2D09">
        <w:rPr>
          <w:rFonts w:ascii="Arial" w:hAnsi="Arial" w:cs="Arial"/>
          <w:i/>
          <w:iCs/>
        </w:rPr>
        <w:t>Environ Res</w:t>
      </w:r>
      <w:r w:rsidRPr="009C2D09">
        <w:rPr>
          <w:rFonts w:ascii="Arial" w:hAnsi="Arial" w:cs="Arial"/>
        </w:rPr>
        <w:t xml:space="preserve">. 242:117759. </w:t>
      </w:r>
    </w:p>
    <w:p w14:paraId="558DAE27" w14:textId="77777777" w:rsidR="0019151D" w:rsidRPr="0019151D" w:rsidRDefault="0019151D" w:rsidP="0019151D">
      <w:pPr>
        <w:rPr>
          <w:rFonts w:ascii="Arial" w:hAnsi="Arial" w:cs="Arial"/>
        </w:rPr>
      </w:pPr>
    </w:p>
    <w:p w14:paraId="31BF06D5" w14:textId="35BA8BA1" w:rsidR="00B3642B" w:rsidRPr="00B3642B" w:rsidRDefault="00B3642B" w:rsidP="00B3642B">
      <w:pPr>
        <w:rPr>
          <w:rFonts w:ascii="Arial" w:hAnsi="Arial" w:cs="Arial"/>
        </w:rPr>
      </w:pPr>
      <w:r w:rsidRPr="00B3642B">
        <w:rPr>
          <w:rFonts w:ascii="Arial" w:hAnsi="Arial" w:cs="Arial"/>
        </w:rPr>
        <w:t xml:space="preserve">Kumar JV, Moss ME, Liu H, Fisher-Owens S, Rugg-Gunn A, Kuring J. </w:t>
      </w:r>
      <w:r>
        <w:rPr>
          <w:rFonts w:ascii="Arial" w:hAnsi="Arial" w:cs="Arial"/>
        </w:rPr>
        <w:t xml:space="preserve">(2025). </w:t>
      </w:r>
      <w:r w:rsidRPr="00B3642B">
        <w:rPr>
          <w:rFonts w:ascii="Arial" w:hAnsi="Arial" w:cs="Arial"/>
        </w:rPr>
        <w:t xml:space="preserve">Fluoride and Neurodevelopmental Hazard Modelling: An Assessment of Concentration-Response Analysis. </w:t>
      </w:r>
      <w:r w:rsidRPr="00B3642B">
        <w:rPr>
          <w:rFonts w:ascii="Arial" w:hAnsi="Arial" w:cs="Arial"/>
          <w:i/>
          <w:iCs/>
        </w:rPr>
        <w:t>Community Dent Oral Epidemiol</w:t>
      </w:r>
      <w:r w:rsidRPr="00B3642B">
        <w:rPr>
          <w:rFonts w:ascii="Arial" w:hAnsi="Arial" w:cs="Arial"/>
        </w:rPr>
        <w:t xml:space="preserve">. </w:t>
      </w:r>
      <w:proofErr w:type="spellStart"/>
      <w:r w:rsidRPr="00B3642B">
        <w:rPr>
          <w:rFonts w:ascii="Arial" w:hAnsi="Arial" w:cs="Arial"/>
        </w:rPr>
        <w:t>doi</w:t>
      </w:r>
      <w:proofErr w:type="spellEnd"/>
      <w:r w:rsidRPr="00B3642B">
        <w:rPr>
          <w:rFonts w:ascii="Arial" w:hAnsi="Arial" w:cs="Arial"/>
        </w:rPr>
        <w:t xml:space="preserve">: 10.1111/cdoe.70027. </w:t>
      </w:r>
      <w:proofErr w:type="spellStart"/>
      <w:r w:rsidRPr="00B3642B">
        <w:rPr>
          <w:rFonts w:ascii="Arial" w:hAnsi="Arial" w:cs="Arial"/>
        </w:rPr>
        <w:t>Epub</w:t>
      </w:r>
      <w:proofErr w:type="spellEnd"/>
      <w:r w:rsidRPr="00B3642B">
        <w:rPr>
          <w:rFonts w:ascii="Arial" w:hAnsi="Arial" w:cs="Arial"/>
        </w:rPr>
        <w:t xml:space="preserve"> ahead of print. </w:t>
      </w:r>
    </w:p>
    <w:p w14:paraId="0886636D" w14:textId="77777777" w:rsidR="00B3642B" w:rsidRDefault="00B3642B" w:rsidP="007056BB">
      <w:pPr>
        <w:rPr>
          <w:rFonts w:ascii="Arial" w:hAnsi="Arial" w:cs="Arial"/>
        </w:rPr>
      </w:pPr>
    </w:p>
    <w:p w14:paraId="2618AE59" w14:textId="0F4C9896" w:rsidR="006A6705" w:rsidRPr="0019151D" w:rsidRDefault="00E96953" w:rsidP="007056BB">
      <w:pPr>
        <w:rPr>
          <w:rFonts w:ascii="Arial" w:hAnsi="Arial" w:cs="Arial"/>
        </w:rPr>
      </w:pPr>
      <w:r w:rsidRPr="0019151D">
        <w:rPr>
          <w:rFonts w:ascii="Arial" w:hAnsi="Arial" w:cs="Arial"/>
        </w:rPr>
        <w:t xml:space="preserve">Larsen B, Luna B. (2018). Adolescence </w:t>
      </w:r>
      <w:proofErr w:type="gramStart"/>
      <w:r w:rsidRPr="0019151D">
        <w:rPr>
          <w:rFonts w:ascii="Arial" w:hAnsi="Arial" w:cs="Arial"/>
        </w:rPr>
        <w:t>as</w:t>
      </w:r>
      <w:proofErr w:type="gramEnd"/>
      <w:r w:rsidRPr="0019151D">
        <w:rPr>
          <w:rFonts w:ascii="Arial" w:hAnsi="Arial" w:cs="Arial"/>
        </w:rPr>
        <w:t xml:space="preserve"> a neurobiological critical period for the development of higher-order cognition. </w:t>
      </w:r>
      <w:proofErr w:type="spellStart"/>
      <w:r w:rsidRPr="0019151D">
        <w:rPr>
          <w:rFonts w:ascii="Arial" w:hAnsi="Arial" w:cs="Arial"/>
          <w:i/>
          <w:iCs/>
        </w:rPr>
        <w:t>Neurosci</w:t>
      </w:r>
      <w:proofErr w:type="spellEnd"/>
      <w:r w:rsidRPr="0019151D">
        <w:rPr>
          <w:rFonts w:ascii="Arial" w:hAnsi="Arial" w:cs="Arial"/>
          <w:i/>
          <w:iCs/>
        </w:rPr>
        <w:t xml:space="preserve"> </w:t>
      </w:r>
      <w:proofErr w:type="spellStart"/>
      <w:r w:rsidRPr="0019151D">
        <w:rPr>
          <w:rFonts w:ascii="Arial" w:hAnsi="Arial" w:cs="Arial"/>
          <w:i/>
          <w:iCs/>
        </w:rPr>
        <w:t>Biobehav</w:t>
      </w:r>
      <w:proofErr w:type="spellEnd"/>
      <w:r w:rsidRPr="0019151D">
        <w:rPr>
          <w:rFonts w:ascii="Arial" w:hAnsi="Arial" w:cs="Arial"/>
          <w:i/>
          <w:iCs/>
        </w:rPr>
        <w:t xml:space="preserve"> Rev</w:t>
      </w:r>
      <w:r w:rsidRPr="0019151D">
        <w:rPr>
          <w:rFonts w:ascii="Arial" w:hAnsi="Arial" w:cs="Arial"/>
        </w:rPr>
        <w:t xml:space="preserve">. 94:179-195. </w:t>
      </w:r>
    </w:p>
    <w:p w14:paraId="47B35881" w14:textId="77777777" w:rsidR="006A6705" w:rsidRPr="0019151D" w:rsidRDefault="006A6705" w:rsidP="007056BB">
      <w:pPr>
        <w:rPr>
          <w:rFonts w:ascii="Arial" w:hAnsi="Arial" w:cs="Arial"/>
        </w:rPr>
      </w:pPr>
    </w:p>
    <w:p w14:paraId="78251DDD" w14:textId="64E52E7D" w:rsidR="00FF05B5" w:rsidRPr="00FF05B5" w:rsidRDefault="00FF05B5" w:rsidP="00FF05B5">
      <w:pPr>
        <w:rPr>
          <w:rFonts w:ascii="Arial" w:hAnsi="Arial" w:cs="Arial"/>
        </w:rPr>
      </w:pPr>
      <w:r w:rsidRPr="00FF05B5">
        <w:rPr>
          <w:rFonts w:ascii="Arial" w:hAnsi="Arial" w:cs="Arial"/>
        </w:rPr>
        <w:t xml:space="preserve">Mousley A, Bethlehem RAI, Yeh FC, Astle DE. </w:t>
      </w:r>
      <w:r w:rsidRPr="0019151D">
        <w:rPr>
          <w:rFonts w:ascii="Arial" w:hAnsi="Arial" w:cs="Arial"/>
        </w:rPr>
        <w:t>(</w:t>
      </w:r>
      <w:r w:rsidR="00792CA4" w:rsidRPr="0019151D">
        <w:rPr>
          <w:rFonts w:ascii="Arial" w:hAnsi="Arial" w:cs="Arial"/>
        </w:rPr>
        <w:t xml:space="preserve">2025). </w:t>
      </w:r>
      <w:r w:rsidRPr="00FF05B5">
        <w:rPr>
          <w:rFonts w:ascii="Arial" w:hAnsi="Arial" w:cs="Arial"/>
        </w:rPr>
        <w:t xml:space="preserve">Topological turning points across the human lifespan. Nat </w:t>
      </w:r>
      <w:r w:rsidRPr="00FF05B5">
        <w:rPr>
          <w:rFonts w:ascii="Arial" w:hAnsi="Arial" w:cs="Arial"/>
          <w:i/>
          <w:iCs/>
        </w:rPr>
        <w:t>Commun</w:t>
      </w:r>
      <w:r w:rsidRPr="00FF05B5">
        <w:rPr>
          <w:rFonts w:ascii="Arial" w:hAnsi="Arial" w:cs="Arial"/>
        </w:rPr>
        <w:t xml:space="preserve">. 16(1):10055. </w:t>
      </w:r>
    </w:p>
    <w:p w14:paraId="58771B90" w14:textId="77777777" w:rsidR="0019151D" w:rsidRDefault="0019151D" w:rsidP="0019151D">
      <w:pPr>
        <w:rPr>
          <w:rFonts w:ascii="Arial" w:hAnsi="Arial" w:cs="Arial"/>
        </w:rPr>
      </w:pPr>
    </w:p>
    <w:p w14:paraId="5EED4719" w14:textId="38A117A3" w:rsidR="008908F9" w:rsidRDefault="008908F9" w:rsidP="008908F9">
      <w:pPr>
        <w:tabs>
          <w:tab w:val="left" w:pos="1395"/>
          <w:tab w:val="left" w:pos="2695"/>
          <w:tab w:val="left" w:pos="3935"/>
          <w:tab w:val="left" w:pos="4755"/>
          <w:tab w:val="left" w:pos="6255"/>
          <w:tab w:val="left" w:pos="8266"/>
          <w:tab w:val="left" w:pos="10016"/>
          <w:tab w:val="left" w:pos="11146"/>
          <w:tab w:val="left" w:pos="12219"/>
          <w:tab w:val="left" w:pos="13227"/>
          <w:tab w:val="left" w:pos="14787"/>
          <w:tab w:val="left" w:pos="16087"/>
          <w:tab w:val="left" w:pos="17107"/>
          <w:tab w:val="left" w:pos="18147"/>
          <w:tab w:val="left" w:pos="21224"/>
        </w:tabs>
        <w:rPr>
          <w:rFonts w:ascii="Arial" w:hAnsi="Arial" w:cs="Arial"/>
        </w:rPr>
      </w:pPr>
      <w:r w:rsidRPr="0019151D">
        <w:rPr>
          <w:rFonts w:ascii="Arial" w:hAnsi="Arial" w:cs="Arial"/>
        </w:rPr>
        <w:t xml:space="preserve">National Academies of Sciences, Engineering, and Medicine. </w:t>
      </w:r>
      <w:r>
        <w:rPr>
          <w:rFonts w:ascii="Arial" w:hAnsi="Arial" w:cs="Arial"/>
        </w:rPr>
        <w:t>(</w:t>
      </w:r>
      <w:r w:rsidRPr="0019151D">
        <w:rPr>
          <w:rFonts w:ascii="Arial" w:hAnsi="Arial" w:cs="Arial"/>
        </w:rPr>
        <w:t>2021</w:t>
      </w:r>
      <w:r>
        <w:rPr>
          <w:rFonts w:ascii="Arial" w:hAnsi="Arial" w:cs="Arial"/>
        </w:rPr>
        <w:t>)</w:t>
      </w:r>
      <w:r w:rsidRPr="0019151D">
        <w:rPr>
          <w:rFonts w:ascii="Arial" w:hAnsi="Arial" w:cs="Arial"/>
        </w:rPr>
        <w:t xml:space="preserve">. </w:t>
      </w:r>
      <w:r w:rsidRPr="008908F9">
        <w:rPr>
          <w:rFonts w:ascii="Arial" w:hAnsi="Arial" w:cs="Arial"/>
        </w:rPr>
        <w:t>Review of the Revised NTP Monograph on the Systematic Review of Fluoride Exposure and Neurodevelopmental and Cognitive Health Effects: A Letter Report</w:t>
      </w:r>
      <w:r w:rsidRPr="0019151D">
        <w:rPr>
          <w:rFonts w:ascii="Arial" w:hAnsi="Arial" w:cs="Arial"/>
        </w:rPr>
        <w:t>. Washington, DC: The National Academies Press.</w:t>
      </w:r>
    </w:p>
    <w:p w14:paraId="72C66B36" w14:textId="77777777" w:rsidR="00AC0B08" w:rsidRDefault="00AC0B08" w:rsidP="008908F9">
      <w:pPr>
        <w:tabs>
          <w:tab w:val="left" w:pos="1395"/>
          <w:tab w:val="left" w:pos="2695"/>
          <w:tab w:val="left" w:pos="3935"/>
          <w:tab w:val="left" w:pos="4755"/>
          <w:tab w:val="left" w:pos="6255"/>
          <w:tab w:val="left" w:pos="8266"/>
          <w:tab w:val="left" w:pos="10016"/>
          <w:tab w:val="left" w:pos="11146"/>
          <w:tab w:val="left" w:pos="12219"/>
          <w:tab w:val="left" w:pos="13227"/>
          <w:tab w:val="left" w:pos="14787"/>
          <w:tab w:val="left" w:pos="16087"/>
          <w:tab w:val="left" w:pos="17107"/>
          <w:tab w:val="left" w:pos="18147"/>
          <w:tab w:val="left" w:pos="21224"/>
        </w:tabs>
        <w:rPr>
          <w:rFonts w:ascii="Arial" w:hAnsi="Arial" w:cs="Arial"/>
        </w:rPr>
      </w:pPr>
    </w:p>
    <w:p w14:paraId="18E380B2" w14:textId="15431C45" w:rsidR="00A15C8E" w:rsidRDefault="00A15C8E" w:rsidP="00272999">
      <w:pPr>
        <w:tabs>
          <w:tab w:val="left" w:pos="1395"/>
          <w:tab w:val="left" w:pos="2695"/>
          <w:tab w:val="left" w:pos="3935"/>
          <w:tab w:val="left" w:pos="4755"/>
          <w:tab w:val="left" w:pos="6255"/>
          <w:tab w:val="left" w:pos="8266"/>
          <w:tab w:val="left" w:pos="10016"/>
          <w:tab w:val="left" w:pos="11146"/>
          <w:tab w:val="left" w:pos="12219"/>
          <w:tab w:val="left" w:pos="13227"/>
          <w:tab w:val="left" w:pos="14787"/>
          <w:tab w:val="left" w:pos="16087"/>
          <w:tab w:val="left" w:pos="17107"/>
          <w:tab w:val="left" w:pos="18147"/>
          <w:tab w:val="left" w:pos="21224"/>
        </w:tabs>
        <w:rPr>
          <w:rFonts w:ascii="Arial" w:hAnsi="Arial" w:cs="Arial"/>
        </w:rPr>
      </w:pPr>
      <w:proofErr w:type="spellStart"/>
      <w:r w:rsidRPr="00A15C8E">
        <w:rPr>
          <w:rFonts w:ascii="Arial" w:hAnsi="Arial" w:cs="Arial"/>
        </w:rPr>
        <w:t>Organisation</w:t>
      </w:r>
      <w:proofErr w:type="spellEnd"/>
      <w:r w:rsidRPr="00A15C8E">
        <w:rPr>
          <w:rFonts w:ascii="Arial" w:hAnsi="Arial" w:cs="Arial"/>
        </w:rPr>
        <w:t xml:space="preserve"> for Economic Co-operation and Development</w:t>
      </w:r>
      <w:r>
        <w:rPr>
          <w:rFonts w:ascii="Arial" w:hAnsi="Arial" w:cs="Arial"/>
        </w:rPr>
        <w:t>. (2025).</w:t>
      </w:r>
      <w:r w:rsidR="00272999">
        <w:rPr>
          <w:rFonts w:ascii="Arial" w:hAnsi="Arial" w:cs="Arial"/>
        </w:rPr>
        <w:t xml:space="preserve"> </w:t>
      </w:r>
      <w:r w:rsidR="00272999" w:rsidRPr="00272999">
        <w:rPr>
          <w:rFonts w:ascii="Arial" w:hAnsi="Arial" w:cs="Arial"/>
        </w:rPr>
        <w:t xml:space="preserve">Adverse Outcome Pathway on Inhibition of </w:t>
      </w:r>
      <w:proofErr w:type="spellStart"/>
      <w:r w:rsidR="00272999" w:rsidRPr="00272999">
        <w:rPr>
          <w:rFonts w:ascii="Arial" w:hAnsi="Arial" w:cs="Arial"/>
        </w:rPr>
        <w:t>Thyroperoxidase</w:t>
      </w:r>
      <w:proofErr w:type="spellEnd"/>
      <w:r w:rsidR="00272999">
        <w:rPr>
          <w:rFonts w:ascii="Arial" w:hAnsi="Arial" w:cs="Arial"/>
        </w:rPr>
        <w:t xml:space="preserve"> </w:t>
      </w:r>
      <w:r w:rsidR="00272999" w:rsidRPr="00272999">
        <w:rPr>
          <w:rFonts w:ascii="Arial" w:hAnsi="Arial" w:cs="Arial"/>
        </w:rPr>
        <w:t>and Subsequent Adverse</w:t>
      </w:r>
      <w:r w:rsidR="00272999">
        <w:rPr>
          <w:rFonts w:ascii="Arial" w:hAnsi="Arial" w:cs="Arial"/>
        </w:rPr>
        <w:t xml:space="preserve"> </w:t>
      </w:r>
      <w:r w:rsidR="00272999" w:rsidRPr="00272999">
        <w:rPr>
          <w:rFonts w:ascii="Arial" w:hAnsi="Arial" w:cs="Arial"/>
        </w:rPr>
        <w:t>Neurodevelopmental Outcomes in</w:t>
      </w:r>
      <w:r w:rsidR="00272999">
        <w:rPr>
          <w:rFonts w:ascii="Arial" w:hAnsi="Arial" w:cs="Arial"/>
        </w:rPr>
        <w:t xml:space="preserve"> </w:t>
      </w:r>
      <w:r w:rsidR="00272999" w:rsidRPr="00272999">
        <w:rPr>
          <w:rFonts w:ascii="Arial" w:hAnsi="Arial" w:cs="Arial"/>
        </w:rPr>
        <w:t>Mammals</w:t>
      </w:r>
      <w:r w:rsidR="00272999">
        <w:rPr>
          <w:rFonts w:ascii="Arial" w:hAnsi="Arial" w:cs="Arial"/>
        </w:rPr>
        <w:t xml:space="preserve">: Series on Adverse Outcome Pathways No. 13. </w:t>
      </w:r>
      <w:r w:rsidR="00B62A8C">
        <w:rPr>
          <w:rFonts w:ascii="Arial" w:hAnsi="Arial" w:cs="Arial"/>
        </w:rPr>
        <w:t xml:space="preserve">Retrieved from: </w:t>
      </w:r>
      <w:hyperlink r:id="rId22" w:history="1">
        <w:r w:rsidR="00B62A8C" w:rsidRPr="00880839">
          <w:rPr>
            <w:rStyle w:val="Hyperlink"/>
            <w:rFonts w:ascii="Arial" w:hAnsi="Arial" w:cs="Arial"/>
          </w:rPr>
          <w:t>https://www.oecd.org/content/dam/oecd/en/publications/reports/2019/07/adverse-outcome-pathway-on-inhibition-of-thyroperoxidase-and-subsequent-adverse-neurodevelopmental-outcomes-in-mammals_48dadb13/ea5aa069-en.pdf?utm_source=chatgpt.com</w:t>
        </w:r>
      </w:hyperlink>
      <w:r w:rsidR="00B62A8C">
        <w:rPr>
          <w:rFonts w:ascii="Arial" w:hAnsi="Arial" w:cs="Arial"/>
        </w:rPr>
        <w:t xml:space="preserve">. Accessed on January 5, 2026. </w:t>
      </w:r>
    </w:p>
    <w:p w14:paraId="474FB3E1" w14:textId="77777777" w:rsidR="00B62A8C" w:rsidRDefault="00B62A8C" w:rsidP="00272999">
      <w:pPr>
        <w:tabs>
          <w:tab w:val="left" w:pos="1395"/>
          <w:tab w:val="left" w:pos="2695"/>
          <w:tab w:val="left" w:pos="3935"/>
          <w:tab w:val="left" w:pos="4755"/>
          <w:tab w:val="left" w:pos="6255"/>
          <w:tab w:val="left" w:pos="8266"/>
          <w:tab w:val="left" w:pos="10016"/>
          <w:tab w:val="left" w:pos="11146"/>
          <w:tab w:val="left" w:pos="12219"/>
          <w:tab w:val="left" w:pos="13227"/>
          <w:tab w:val="left" w:pos="14787"/>
          <w:tab w:val="left" w:pos="16087"/>
          <w:tab w:val="left" w:pos="17107"/>
          <w:tab w:val="left" w:pos="18147"/>
          <w:tab w:val="left" w:pos="21224"/>
        </w:tabs>
        <w:rPr>
          <w:rFonts w:ascii="Arial" w:hAnsi="Arial" w:cs="Arial"/>
        </w:rPr>
      </w:pPr>
    </w:p>
    <w:p w14:paraId="63BB5861" w14:textId="6DFCDE27" w:rsidR="00AC0B08" w:rsidRPr="00AC0B08" w:rsidRDefault="00AC0B08" w:rsidP="00AC0B08">
      <w:pPr>
        <w:tabs>
          <w:tab w:val="left" w:pos="1395"/>
          <w:tab w:val="left" w:pos="2695"/>
          <w:tab w:val="left" w:pos="3935"/>
          <w:tab w:val="left" w:pos="4755"/>
          <w:tab w:val="left" w:pos="6255"/>
          <w:tab w:val="left" w:pos="8266"/>
          <w:tab w:val="left" w:pos="10016"/>
          <w:tab w:val="left" w:pos="11146"/>
          <w:tab w:val="left" w:pos="12219"/>
          <w:tab w:val="left" w:pos="13227"/>
          <w:tab w:val="left" w:pos="14787"/>
          <w:tab w:val="left" w:pos="16087"/>
          <w:tab w:val="left" w:pos="17107"/>
          <w:tab w:val="left" w:pos="18147"/>
          <w:tab w:val="left" w:pos="21224"/>
        </w:tabs>
        <w:rPr>
          <w:rFonts w:ascii="Arial" w:hAnsi="Arial" w:cs="Arial"/>
        </w:rPr>
      </w:pPr>
      <w:r w:rsidRPr="00AC0B08">
        <w:rPr>
          <w:rFonts w:ascii="Arial" w:hAnsi="Arial" w:cs="Arial"/>
        </w:rPr>
        <w:t xml:space="preserve">Thomas DB, Basu N, Martinez-Mier EA, Sánchez BN, Zhang Z, Liu Y, Parajuli RP, Peterson K, Mercado-Garcia A, </w:t>
      </w:r>
      <w:proofErr w:type="spellStart"/>
      <w:r w:rsidRPr="00AC0B08">
        <w:rPr>
          <w:rFonts w:ascii="Arial" w:hAnsi="Arial" w:cs="Arial"/>
        </w:rPr>
        <w:t>Bashash</w:t>
      </w:r>
      <w:proofErr w:type="spellEnd"/>
      <w:r w:rsidRPr="00AC0B08">
        <w:rPr>
          <w:rFonts w:ascii="Arial" w:hAnsi="Arial" w:cs="Arial"/>
        </w:rPr>
        <w:t xml:space="preserve"> M, Hernández-Avila M, Hu H, Téllez-Rojo MM. Urinary and plasma fluoride levels in pregnant women from Mexico City. Environ Res. 2016 </w:t>
      </w:r>
      <w:proofErr w:type="gramStart"/>
      <w:r w:rsidRPr="00AC0B08">
        <w:rPr>
          <w:rFonts w:ascii="Arial" w:hAnsi="Arial" w:cs="Arial"/>
        </w:rPr>
        <w:t>Oct;150:489</w:t>
      </w:r>
      <w:proofErr w:type="gramEnd"/>
      <w:r w:rsidRPr="00AC0B08">
        <w:rPr>
          <w:rFonts w:ascii="Arial" w:hAnsi="Arial" w:cs="Arial"/>
        </w:rPr>
        <w:t xml:space="preserve">-495. </w:t>
      </w:r>
      <w:proofErr w:type="spellStart"/>
      <w:r w:rsidRPr="00AC0B08">
        <w:rPr>
          <w:rFonts w:ascii="Arial" w:hAnsi="Arial" w:cs="Arial"/>
        </w:rPr>
        <w:t>doi</w:t>
      </w:r>
      <w:proofErr w:type="spellEnd"/>
      <w:r w:rsidRPr="00AC0B08">
        <w:rPr>
          <w:rFonts w:ascii="Arial" w:hAnsi="Arial" w:cs="Arial"/>
        </w:rPr>
        <w:t xml:space="preserve">: 10.1016/j.envres.2016.06.046. </w:t>
      </w:r>
      <w:proofErr w:type="spellStart"/>
      <w:r w:rsidRPr="00AC0B08">
        <w:rPr>
          <w:rFonts w:ascii="Arial" w:hAnsi="Arial" w:cs="Arial"/>
        </w:rPr>
        <w:t>Epub</w:t>
      </w:r>
      <w:proofErr w:type="spellEnd"/>
      <w:r w:rsidRPr="00AC0B08">
        <w:rPr>
          <w:rFonts w:ascii="Arial" w:hAnsi="Arial" w:cs="Arial"/>
        </w:rPr>
        <w:t xml:space="preserve"> 2016 Jul 14. PMID: 27423051.</w:t>
      </w:r>
    </w:p>
    <w:p w14:paraId="4558E6BB" w14:textId="77777777" w:rsidR="008908F9" w:rsidRDefault="008908F9" w:rsidP="0019151D">
      <w:pPr>
        <w:rPr>
          <w:rFonts w:ascii="Arial" w:hAnsi="Arial" w:cs="Arial"/>
        </w:rPr>
      </w:pPr>
    </w:p>
    <w:p w14:paraId="3D76C973" w14:textId="77777777" w:rsidR="00086C6F" w:rsidRDefault="00086C6F" w:rsidP="00086C6F">
      <w:pPr>
        <w:rPr>
          <w:rFonts w:ascii="Arial" w:hAnsi="Arial" w:cs="Arial"/>
        </w:rPr>
      </w:pPr>
      <w:r>
        <w:rPr>
          <w:rFonts w:ascii="Arial" w:hAnsi="Arial" w:cs="Arial"/>
        </w:rPr>
        <w:t xml:space="preserve">US Centers for Disease Control and Prevention. (2024). CDC Scientific Statement on Community Water Fluoridation. Retrieved from: </w:t>
      </w:r>
      <w:hyperlink r:id="rId23" w:history="1">
        <w:r w:rsidRPr="00880839">
          <w:rPr>
            <w:rStyle w:val="Hyperlink"/>
            <w:rFonts w:ascii="Arial" w:hAnsi="Arial" w:cs="Arial"/>
          </w:rPr>
          <w:t>https://www.cdc.gov/fluoridation/about/statement-on-the-evidence-supporting-the-safety-and-effectiveness-of-community-water-fluoridation.html</w:t>
        </w:r>
      </w:hyperlink>
      <w:r>
        <w:rPr>
          <w:rFonts w:ascii="Arial" w:hAnsi="Arial" w:cs="Arial"/>
        </w:rPr>
        <w:t>. Accessed on January 12, 2026.</w:t>
      </w:r>
    </w:p>
    <w:p w14:paraId="250E3CAA" w14:textId="77777777" w:rsidR="00086C6F" w:rsidRDefault="00086C6F" w:rsidP="0019151D">
      <w:pPr>
        <w:rPr>
          <w:rFonts w:ascii="Arial" w:hAnsi="Arial" w:cs="Arial"/>
        </w:rPr>
      </w:pPr>
    </w:p>
    <w:p w14:paraId="33985027" w14:textId="457B44E1" w:rsidR="006738AA" w:rsidRDefault="00AC6FB9" w:rsidP="0019151D">
      <w:pPr>
        <w:rPr>
          <w:rFonts w:ascii="Arial" w:hAnsi="Arial" w:cs="Arial"/>
        </w:rPr>
      </w:pPr>
      <w:r>
        <w:rPr>
          <w:rFonts w:ascii="Arial" w:hAnsi="Arial" w:cs="Arial"/>
        </w:rPr>
        <w:lastRenderedPageBreak/>
        <w:t>US Environmental Protection Agency. (1998). Guidelines for Neu</w:t>
      </w:r>
      <w:r w:rsidR="00C17464">
        <w:rPr>
          <w:rFonts w:ascii="Arial" w:hAnsi="Arial" w:cs="Arial"/>
        </w:rPr>
        <w:t xml:space="preserve">rotoxicity Risk Assessment. Retrieved from: </w:t>
      </w:r>
      <w:hyperlink r:id="rId24" w:history="1">
        <w:r w:rsidR="00C17464" w:rsidRPr="00880839">
          <w:rPr>
            <w:rStyle w:val="Hyperlink"/>
            <w:rFonts w:ascii="Arial" w:hAnsi="Arial" w:cs="Arial"/>
          </w:rPr>
          <w:t>https://www.epa.gov/risk/guidelines-neurotoxicity-risk-assessment</w:t>
        </w:r>
      </w:hyperlink>
      <w:r w:rsidR="00C17464">
        <w:rPr>
          <w:rFonts w:ascii="Arial" w:hAnsi="Arial" w:cs="Arial"/>
        </w:rPr>
        <w:t>. Assessed on January 5, 2026.</w:t>
      </w:r>
    </w:p>
    <w:p w14:paraId="3CEF0286" w14:textId="77777777" w:rsidR="00C17464" w:rsidRDefault="00C17464" w:rsidP="0019151D">
      <w:pPr>
        <w:rPr>
          <w:rFonts w:ascii="Arial" w:hAnsi="Arial" w:cs="Arial"/>
        </w:rPr>
      </w:pPr>
    </w:p>
    <w:p w14:paraId="1FF3A975" w14:textId="356D0CFF" w:rsidR="0019151D" w:rsidRPr="0019151D" w:rsidRDefault="0019151D" w:rsidP="0019151D">
      <w:pPr>
        <w:rPr>
          <w:rFonts w:ascii="Arial" w:hAnsi="Arial" w:cs="Arial"/>
        </w:rPr>
      </w:pPr>
      <w:r w:rsidRPr="0019151D">
        <w:rPr>
          <w:rFonts w:ascii="Arial" w:hAnsi="Arial" w:cs="Arial"/>
        </w:rPr>
        <w:t xml:space="preserve">US </w:t>
      </w:r>
      <w:r w:rsidRPr="0002365D">
        <w:rPr>
          <w:rFonts w:ascii="Arial" w:hAnsi="Arial" w:cs="Arial"/>
        </w:rPr>
        <w:t xml:space="preserve">National Toxicology Program. </w:t>
      </w:r>
      <w:r w:rsidRPr="0019151D">
        <w:rPr>
          <w:rFonts w:ascii="Arial" w:hAnsi="Arial" w:cs="Arial"/>
        </w:rPr>
        <w:t>Office of Health Assessment and Translation. (2019</w:t>
      </w:r>
      <w:r w:rsidR="00E57DBF">
        <w:rPr>
          <w:rFonts w:ascii="Arial" w:hAnsi="Arial" w:cs="Arial"/>
        </w:rPr>
        <w:t>a</w:t>
      </w:r>
      <w:r w:rsidRPr="0019151D">
        <w:rPr>
          <w:rFonts w:ascii="Arial" w:hAnsi="Arial" w:cs="Arial"/>
        </w:rPr>
        <w:t xml:space="preserve">). Draft NTP Monograph on the Systematic Review of Fluoride Exposure and Neurodevelopmental and Cognitive Health Effects. Retrieved from: </w:t>
      </w:r>
      <w:hyperlink r:id="rId25" w:history="1">
        <w:r w:rsidRPr="0019151D">
          <w:rPr>
            <w:rStyle w:val="Hyperlink"/>
            <w:rFonts w:ascii="Arial" w:hAnsi="Arial" w:cs="Arial"/>
          </w:rPr>
          <w:t>https://www.asdwa.org/wp-content/uploads/2019/10/draft_fluoride_monograph_20190906_5081.pdf</w:t>
        </w:r>
      </w:hyperlink>
      <w:r w:rsidRPr="0019151D">
        <w:rPr>
          <w:rFonts w:ascii="Arial" w:hAnsi="Arial" w:cs="Arial"/>
        </w:rPr>
        <w:t>. Accessed on December 19, 2025.</w:t>
      </w:r>
    </w:p>
    <w:p w14:paraId="6A70C95B" w14:textId="77777777" w:rsidR="0019151D" w:rsidRDefault="0019151D" w:rsidP="00FC1D13">
      <w:pPr>
        <w:spacing w:line="259" w:lineRule="auto"/>
        <w:rPr>
          <w:rFonts w:ascii="Arial" w:hAnsi="Arial" w:cs="Arial"/>
        </w:rPr>
      </w:pPr>
    </w:p>
    <w:p w14:paraId="46D71B93" w14:textId="2F0C671B" w:rsidR="00E57DBF" w:rsidRDefault="00E57DBF" w:rsidP="00E57DBF">
      <w:pPr>
        <w:rPr>
          <w:rFonts w:ascii="Arial" w:hAnsi="Arial" w:cs="Arial"/>
        </w:rPr>
      </w:pPr>
      <w:r w:rsidRPr="0019151D">
        <w:rPr>
          <w:rFonts w:ascii="Arial" w:hAnsi="Arial" w:cs="Arial"/>
        </w:rPr>
        <w:t>US National Toxicology Program: Office of Health Assessment and Translation. (2019</w:t>
      </w:r>
      <w:r>
        <w:rPr>
          <w:rFonts w:ascii="Arial" w:hAnsi="Arial" w:cs="Arial"/>
        </w:rPr>
        <w:t>b</w:t>
      </w:r>
      <w:r w:rsidRPr="0019151D">
        <w:rPr>
          <w:rFonts w:ascii="Arial" w:hAnsi="Arial" w:cs="Arial"/>
        </w:rPr>
        <w:t xml:space="preserve">). Handbook for Conducting a Literature-Based Health Assessment Using OHAT Approach for Systematic Review and Evidence Integration. Retrieved from: </w:t>
      </w:r>
      <w:hyperlink r:id="rId26" w:history="1">
        <w:r w:rsidRPr="0019151D">
          <w:rPr>
            <w:rStyle w:val="Hyperlink"/>
            <w:rFonts w:ascii="Arial" w:hAnsi="Arial" w:cs="Arial"/>
          </w:rPr>
          <w:t>https://ntp.niehs.nih.gov/sites/default/files/ntp/ohat/pubs/handbookmarch2019_508.pdf</w:t>
        </w:r>
      </w:hyperlink>
      <w:r w:rsidRPr="0019151D">
        <w:rPr>
          <w:rFonts w:ascii="Arial" w:hAnsi="Arial" w:cs="Arial"/>
        </w:rPr>
        <w:t xml:space="preserve">. Accessed on December 19, 2025. </w:t>
      </w:r>
    </w:p>
    <w:p w14:paraId="47F61759" w14:textId="77777777" w:rsidR="00E57DBF" w:rsidRDefault="00E57DBF" w:rsidP="0019151D">
      <w:pPr>
        <w:spacing w:line="259" w:lineRule="auto"/>
        <w:rPr>
          <w:rFonts w:ascii="Arial" w:hAnsi="Arial" w:cs="Arial"/>
        </w:rPr>
      </w:pPr>
    </w:p>
    <w:p w14:paraId="6E62406E" w14:textId="2965F85F" w:rsidR="00B730B6" w:rsidRPr="0019151D" w:rsidRDefault="00FC1D13" w:rsidP="0019151D">
      <w:pPr>
        <w:spacing w:line="259" w:lineRule="auto"/>
        <w:rPr>
          <w:rFonts w:ascii="Arial" w:hAnsi="Arial" w:cs="Arial"/>
        </w:rPr>
      </w:pPr>
      <w:r w:rsidRPr="0019151D">
        <w:rPr>
          <w:rFonts w:ascii="Arial" w:hAnsi="Arial" w:cs="Arial"/>
        </w:rPr>
        <w:t xml:space="preserve">Warren JR, Rumore G, Kim S, Grodsky E, Muller C, Manly JJ, Brickman AM. (2025). Childhood fluoride exposure and cognition across the life course. </w:t>
      </w:r>
      <w:r w:rsidRPr="0019151D">
        <w:rPr>
          <w:rFonts w:ascii="Arial" w:hAnsi="Arial" w:cs="Arial"/>
          <w:i/>
          <w:iCs/>
        </w:rPr>
        <w:t>Sci Adv</w:t>
      </w:r>
      <w:r w:rsidRPr="0019151D">
        <w:rPr>
          <w:rFonts w:ascii="Arial" w:hAnsi="Arial" w:cs="Arial"/>
        </w:rPr>
        <w:t>. 11(47):</w:t>
      </w:r>
      <w:r w:rsidR="0019151D">
        <w:rPr>
          <w:rFonts w:ascii="Arial" w:hAnsi="Arial" w:cs="Arial"/>
        </w:rPr>
        <w:t xml:space="preserve"> </w:t>
      </w:r>
      <w:r w:rsidRPr="0019151D">
        <w:rPr>
          <w:rFonts w:ascii="Arial" w:hAnsi="Arial" w:cs="Arial"/>
        </w:rPr>
        <w:t xml:space="preserve">eadz0757. </w:t>
      </w:r>
    </w:p>
    <w:p w14:paraId="06347894" w14:textId="77777777" w:rsidR="00B730B6" w:rsidRDefault="00B730B6" w:rsidP="003D5D9B">
      <w:pPr>
        <w:tabs>
          <w:tab w:val="left" w:pos="1395"/>
          <w:tab w:val="left" w:pos="2695"/>
          <w:tab w:val="left" w:pos="3935"/>
          <w:tab w:val="left" w:pos="4755"/>
          <w:tab w:val="left" w:pos="6255"/>
          <w:tab w:val="left" w:pos="8266"/>
          <w:tab w:val="left" w:pos="10016"/>
          <w:tab w:val="left" w:pos="11146"/>
          <w:tab w:val="left" w:pos="12219"/>
          <w:tab w:val="left" w:pos="13227"/>
          <w:tab w:val="left" w:pos="14787"/>
          <w:tab w:val="left" w:pos="16087"/>
          <w:tab w:val="left" w:pos="17107"/>
          <w:tab w:val="left" w:pos="18147"/>
          <w:tab w:val="left" w:pos="21224"/>
        </w:tabs>
        <w:rPr>
          <w:rFonts w:ascii="Arial" w:hAnsi="Arial" w:cs="Arial"/>
        </w:rPr>
      </w:pPr>
    </w:p>
    <w:p w14:paraId="62E57A1A" w14:textId="77777777" w:rsidR="00B86C68" w:rsidRDefault="00B86C68" w:rsidP="00B86C68">
      <w:pPr>
        <w:spacing w:line="259" w:lineRule="auto"/>
        <w:rPr>
          <w:rFonts w:ascii="Arial" w:hAnsi="Arial" w:cs="Arial"/>
        </w:rPr>
      </w:pPr>
      <w:r>
        <w:rPr>
          <w:rFonts w:ascii="Arial" w:hAnsi="Arial" w:cs="Arial"/>
        </w:rPr>
        <w:t xml:space="preserve">World Health Organization. (2004). Fluoride in Drinking-water: Background document for development of WHO Guidelines for Drinking-water Quality. Retrieved from: </w:t>
      </w:r>
      <w:hyperlink r:id="rId27" w:history="1">
        <w:r w:rsidRPr="00880839">
          <w:rPr>
            <w:rStyle w:val="Hyperlink"/>
            <w:rFonts w:ascii="Arial" w:hAnsi="Arial" w:cs="Arial"/>
          </w:rPr>
          <w:t>https://www.who.int/docs/default-source/wash-documents/wash-chemicals/fluoride-background-document.pdf</w:t>
        </w:r>
      </w:hyperlink>
      <w:r>
        <w:rPr>
          <w:rFonts w:ascii="Arial" w:hAnsi="Arial" w:cs="Arial"/>
        </w:rPr>
        <w:t xml:space="preserve">. Accessed on January 12, 2026. </w:t>
      </w:r>
    </w:p>
    <w:p w14:paraId="188A1329" w14:textId="77777777" w:rsidR="00B86C68" w:rsidRDefault="00B86C68" w:rsidP="00B86C68">
      <w:pPr>
        <w:spacing w:line="259" w:lineRule="auto"/>
        <w:rPr>
          <w:rFonts w:ascii="Arial" w:hAnsi="Arial" w:cs="Arial"/>
        </w:rPr>
      </w:pPr>
    </w:p>
    <w:p w14:paraId="211730B0" w14:textId="77777777" w:rsidR="00230EFD" w:rsidRPr="0019151D" w:rsidRDefault="00230EFD" w:rsidP="00230EFD">
      <w:pPr>
        <w:spacing w:line="259" w:lineRule="auto"/>
        <w:rPr>
          <w:rFonts w:ascii="Arial" w:hAnsi="Arial" w:cs="Arial"/>
        </w:rPr>
      </w:pPr>
      <w:r>
        <w:rPr>
          <w:rFonts w:ascii="Arial" w:hAnsi="Arial" w:cs="Arial"/>
        </w:rPr>
        <w:t xml:space="preserve">World Health Organization. (2022). Guidelines for Drinking-water Quality: Fourth Edition Incorporating the First and Second Addenda. Retrieved from: </w:t>
      </w:r>
      <w:hyperlink r:id="rId28" w:history="1">
        <w:r w:rsidRPr="00880839">
          <w:rPr>
            <w:rStyle w:val="Hyperlink"/>
            <w:rFonts w:ascii="Arial" w:hAnsi="Arial" w:cs="Arial"/>
          </w:rPr>
          <w:t>https://iris.who.int/server/api/core/bitstreams/69c17edd-ee26-425b-9d34-33799377e886/content</w:t>
        </w:r>
      </w:hyperlink>
      <w:r>
        <w:rPr>
          <w:rFonts w:ascii="Arial" w:hAnsi="Arial" w:cs="Arial"/>
        </w:rPr>
        <w:t>. Accessed on January 12, 2026.</w:t>
      </w:r>
    </w:p>
    <w:p w14:paraId="40825436" w14:textId="77777777" w:rsidR="00B86C68" w:rsidRPr="0019151D" w:rsidRDefault="00B86C68" w:rsidP="003D5D9B">
      <w:pPr>
        <w:tabs>
          <w:tab w:val="left" w:pos="1395"/>
          <w:tab w:val="left" w:pos="2695"/>
          <w:tab w:val="left" w:pos="3935"/>
          <w:tab w:val="left" w:pos="4755"/>
          <w:tab w:val="left" w:pos="6255"/>
          <w:tab w:val="left" w:pos="8266"/>
          <w:tab w:val="left" w:pos="10016"/>
          <w:tab w:val="left" w:pos="11146"/>
          <w:tab w:val="left" w:pos="12219"/>
          <w:tab w:val="left" w:pos="13227"/>
          <w:tab w:val="left" w:pos="14787"/>
          <w:tab w:val="left" w:pos="16087"/>
          <w:tab w:val="left" w:pos="17107"/>
          <w:tab w:val="left" w:pos="18147"/>
          <w:tab w:val="left" w:pos="21224"/>
        </w:tabs>
        <w:rPr>
          <w:rFonts w:ascii="Arial" w:hAnsi="Arial" w:cs="Arial"/>
        </w:rPr>
      </w:pPr>
    </w:p>
    <w:p w14:paraId="3081F8E6" w14:textId="77777777" w:rsidR="003D5D9B" w:rsidRPr="0019151D" w:rsidRDefault="003D5D9B" w:rsidP="003D5D9B">
      <w:pPr>
        <w:tabs>
          <w:tab w:val="left" w:pos="1395"/>
          <w:tab w:val="left" w:pos="2695"/>
          <w:tab w:val="left" w:pos="3935"/>
          <w:tab w:val="left" w:pos="4755"/>
          <w:tab w:val="left" w:pos="6255"/>
          <w:tab w:val="left" w:pos="8266"/>
          <w:tab w:val="left" w:pos="10016"/>
          <w:tab w:val="left" w:pos="11146"/>
          <w:tab w:val="left" w:pos="12219"/>
          <w:tab w:val="left" w:pos="13227"/>
          <w:tab w:val="left" w:pos="14787"/>
          <w:tab w:val="left" w:pos="16087"/>
          <w:tab w:val="left" w:pos="17107"/>
          <w:tab w:val="left" w:pos="18147"/>
          <w:tab w:val="left" w:pos="21224"/>
        </w:tabs>
        <w:rPr>
          <w:rFonts w:ascii="Arial" w:hAnsi="Arial" w:cs="Arial"/>
        </w:rPr>
      </w:pPr>
    </w:p>
    <w:sectPr w:rsidR="003D5D9B" w:rsidRPr="0019151D" w:rsidSect="004B34B4">
      <w:headerReference w:type="default" r:id="rId29"/>
      <w:footerReference w:type="default" r:id="rId30"/>
      <w:headerReference w:type="first" r:id="rId31"/>
      <w:footerReference w:type="first" r:id="rId32"/>
      <w:pgSz w:w="12240" w:h="15840"/>
      <w:pgMar w:top="1440" w:right="1440" w:bottom="1440" w:left="1440" w:header="1455" w:footer="18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A9B6C" w14:textId="77777777" w:rsidR="00F44B0D" w:rsidRDefault="00F44B0D" w:rsidP="00D14F46">
      <w:r>
        <w:separator/>
      </w:r>
    </w:p>
  </w:endnote>
  <w:endnote w:type="continuationSeparator" w:id="0">
    <w:p w14:paraId="5B92A267" w14:textId="77777777" w:rsidR="00F44B0D" w:rsidRDefault="00F44B0D" w:rsidP="00D14F46">
      <w:r>
        <w:continuationSeparator/>
      </w:r>
    </w:p>
  </w:endnote>
  <w:endnote w:type="continuationNotice" w:id="1">
    <w:p w14:paraId="304FA5B9" w14:textId="77777777" w:rsidR="00F44B0D" w:rsidRDefault="00F44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illSans-SemiBold">
    <w:altName w:val="Calibri"/>
    <w:charset w:val="00"/>
    <w:family w:val="swiss"/>
    <w:pitch w:val="variable"/>
    <w:sig w:usb0="8000026F" w:usb1="5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034137"/>
      <w:docPartObj>
        <w:docPartGallery w:val="Page Numbers (Bottom of Page)"/>
        <w:docPartUnique/>
      </w:docPartObj>
    </w:sdtPr>
    <w:sdtEndPr>
      <w:rPr>
        <w:noProof/>
      </w:rPr>
    </w:sdtEndPr>
    <w:sdtContent>
      <w:p w14:paraId="68ACDC3C" w14:textId="2F859AF8" w:rsidR="00381728" w:rsidRDefault="003817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2BEC54" w14:textId="77777777" w:rsidR="009C751F" w:rsidRDefault="009C7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C047" w14:textId="5D607A31" w:rsidR="00A608DD" w:rsidRDefault="00A608DD">
    <w:pPr>
      <w:pStyle w:val="Footer"/>
    </w:pPr>
    <w:r w:rsidRPr="00A608DD">
      <w:rPr>
        <w:noProof/>
      </w:rPr>
      <mc:AlternateContent>
        <mc:Choice Requires="wps">
          <w:drawing>
            <wp:anchor distT="0" distB="0" distL="114300" distR="114300" simplePos="0" relativeHeight="251655680" behindDoc="1" locked="0" layoutInCell="1" allowOverlap="1" wp14:anchorId="4CC8128B" wp14:editId="0EB82CF1">
              <wp:simplePos x="0" y="0"/>
              <wp:positionH relativeFrom="page">
                <wp:posOffset>5289550</wp:posOffset>
              </wp:positionH>
              <wp:positionV relativeFrom="page">
                <wp:posOffset>9631680</wp:posOffset>
              </wp:positionV>
              <wp:extent cx="176530" cy="113030"/>
              <wp:effectExtent l="0" t="0" r="1270" b="127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530" cy="113030"/>
                      </a:xfrm>
                      <a:custGeom>
                        <a:avLst/>
                        <a:gdLst>
                          <a:gd name="T0" fmla="+- 0 8535 8430"/>
                          <a:gd name="T1" fmla="*/ T0 w 211"/>
                          <a:gd name="T2" fmla="+- 0 15120 15120"/>
                          <a:gd name="T3" fmla="*/ 15120 h 152"/>
                          <a:gd name="T4" fmla="+- 0 8430 8430"/>
                          <a:gd name="T5" fmla="*/ T4 w 211"/>
                          <a:gd name="T6" fmla="+- 0 15272 15120"/>
                          <a:gd name="T7" fmla="*/ 15272 h 152"/>
                          <a:gd name="T8" fmla="+- 0 8640 8430"/>
                          <a:gd name="T9" fmla="*/ T8 w 211"/>
                          <a:gd name="T10" fmla="+- 0 15272 15120"/>
                          <a:gd name="T11" fmla="*/ 15272 h 152"/>
                          <a:gd name="T12" fmla="+- 0 8535 8430"/>
                          <a:gd name="T13" fmla="*/ T12 w 211"/>
                          <a:gd name="T14" fmla="+- 0 15120 15120"/>
                          <a:gd name="T15" fmla="*/ 15120 h 152"/>
                        </a:gdLst>
                        <a:ahLst/>
                        <a:cxnLst>
                          <a:cxn ang="0">
                            <a:pos x="T1" y="T3"/>
                          </a:cxn>
                          <a:cxn ang="0">
                            <a:pos x="T5" y="T7"/>
                          </a:cxn>
                          <a:cxn ang="0">
                            <a:pos x="T9" y="T11"/>
                          </a:cxn>
                          <a:cxn ang="0">
                            <a:pos x="T13" y="T15"/>
                          </a:cxn>
                        </a:cxnLst>
                        <a:rect l="0" t="0" r="r" b="b"/>
                        <a:pathLst>
                          <a:path w="211" h="152">
                            <a:moveTo>
                              <a:pt x="105" y="0"/>
                            </a:moveTo>
                            <a:lnTo>
                              <a:pt x="0" y="152"/>
                            </a:lnTo>
                            <a:lnTo>
                              <a:pt x="210" y="152"/>
                            </a:lnTo>
                            <a:lnTo>
                              <a:pt x="105" y="0"/>
                            </a:lnTo>
                            <a:close/>
                          </a:path>
                        </a:pathLst>
                      </a:custGeom>
                      <a:solidFill>
                        <a:srgbClr val="004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94C6E" id="Freeform: Shape 6" o:spid="_x0000_s1026" style="position:absolute;margin-left:416.5pt;margin-top:758.4pt;width:13.9pt;height:8.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" path="m105,l,152r210,l105,xe" fillcolor="#00468b" stroked="f">
              <v:path arrowok="t" o:connecttype="custom" o:connectlocs="87847,11243511;0,11356541;175693,11356541;87847,11243511" o:connectangles="0,0,0,0"/>
              <w10:wrap anchorx="page" anchory="page"/>
            </v:shape>
          </w:pict>
        </mc:Fallback>
      </mc:AlternateContent>
    </w:r>
    <w:r w:rsidRPr="00A608DD">
      <w:rPr>
        <w:noProof/>
      </w:rPr>
      <mc:AlternateContent>
        <mc:Choice Requires="wps">
          <w:drawing>
            <wp:anchor distT="0" distB="0" distL="114300" distR="114300" simplePos="0" relativeHeight="251656704" behindDoc="1" locked="0" layoutInCell="1" allowOverlap="1" wp14:anchorId="62C38A53" wp14:editId="11D40B0A">
              <wp:simplePos x="0" y="0"/>
              <wp:positionH relativeFrom="page">
                <wp:posOffset>5378450</wp:posOffset>
              </wp:positionH>
              <wp:positionV relativeFrom="page">
                <wp:posOffset>8736330</wp:posOffset>
              </wp:positionV>
              <wp:extent cx="0" cy="812800"/>
              <wp:effectExtent l="0" t="0" r="1270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12800"/>
                      </a:xfrm>
                      <a:prstGeom prst="line">
                        <a:avLst/>
                      </a:prstGeom>
                      <a:noFill/>
                      <a:ln w="6350">
                        <a:solidFill>
                          <a:srgbClr val="00468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0B45E" id="Straight Connector 4"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3.5pt,687.9pt" to="423.5pt,7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" strokecolor="#00468b" strokeweight=".5pt">
              <o:lock v:ext="edit" shapetype="f"/>
              <w10:wrap anchorx="page" anchory="page"/>
            </v:line>
          </w:pict>
        </mc:Fallback>
      </mc:AlternateContent>
    </w:r>
    <w:r w:rsidRPr="00A608DD">
      <w:rPr>
        <w:noProof/>
      </w:rPr>
      <mc:AlternateContent>
        <mc:Choice Requires="wps">
          <w:drawing>
            <wp:anchor distT="0" distB="0" distL="114300" distR="114300" simplePos="0" relativeHeight="251657728" behindDoc="1" locked="0" layoutInCell="1" allowOverlap="1" wp14:anchorId="1775C957" wp14:editId="14456121">
              <wp:simplePos x="0" y="0"/>
              <wp:positionH relativeFrom="page">
                <wp:posOffset>5480050</wp:posOffset>
              </wp:positionH>
              <wp:positionV relativeFrom="page">
                <wp:posOffset>8698230</wp:posOffset>
              </wp:positionV>
              <wp:extent cx="2349500" cy="9474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9500" cy="947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E1190" w14:textId="1CC975C1" w:rsidR="00A608DD" w:rsidRPr="007604D6" w:rsidRDefault="00A608DD" w:rsidP="00A608DD">
                          <w:pPr>
                            <w:pStyle w:val="Header"/>
                            <w:spacing w:before="20"/>
                            <w:rPr>
                              <w:lang w:val="fr-FR"/>
                            </w:rPr>
                          </w:pPr>
                          <w:r w:rsidRPr="007604D6">
                            <w:rPr>
                              <w:color w:val="00468B"/>
                              <w:lang w:val="fr-FR"/>
                            </w:rPr>
                            <w:t>T</w:t>
                          </w:r>
                          <w:r w:rsidRPr="007604D6">
                            <w:rPr>
                              <w:color w:val="00468B"/>
                              <w:spacing w:val="-6"/>
                              <w:lang w:val="fr-FR"/>
                            </w:rPr>
                            <w:t xml:space="preserve"> </w:t>
                          </w:r>
                          <w:r w:rsidRPr="007604D6">
                            <w:rPr>
                              <w:color w:val="00468B"/>
                              <w:lang w:val="fr-FR"/>
                            </w:rPr>
                            <w:t>+1.703.</w:t>
                          </w:r>
                          <w:r w:rsidR="00260F6A" w:rsidRPr="007604D6">
                            <w:rPr>
                              <w:color w:val="00468B"/>
                              <w:lang w:val="fr-FR"/>
                            </w:rPr>
                            <w:t>548.0066</w:t>
                          </w:r>
                        </w:p>
                        <w:p w14:paraId="62C49515" w14:textId="77777777" w:rsidR="00A608DD" w:rsidRPr="007604D6" w:rsidRDefault="00A608DD" w:rsidP="00A608DD">
                          <w:pPr>
                            <w:pStyle w:val="Header"/>
                            <w:rPr>
                              <w:lang w:val="fr-FR"/>
                            </w:rPr>
                          </w:pPr>
                          <w:r w:rsidRPr="007604D6">
                            <w:rPr>
                              <w:color w:val="00468B"/>
                              <w:lang w:val="fr-FR"/>
                            </w:rPr>
                            <w:t>F</w:t>
                          </w:r>
                          <w:r w:rsidRPr="007604D6">
                            <w:rPr>
                              <w:color w:val="00468B"/>
                              <w:spacing w:val="21"/>
                              <w:lang w:val="fr-FR"/>
                            </w:rPr>
                            <w:t xml:space="preserve"> </w:t>
                          </w:r>
                          <w:r w:rsidRPr="007604D6">
                            <w:rPr>
                              <w:color w:val="00468B"/>
                              <w:lang w:val="fr-FR"/>
                            </w:rPr>
                            <w:t>+1.703.548.1883</w:t>
                          </w:r>
                        </w:p>
                        <w:p w14:paraId="2A982351" w14:textId="77777777" w:rsidR="00A608DD" w:rsidRPr="007604D6" w:rsidRDefault="00A608DD" w:rsidP="00A608DD">
                          <w:pPr>
                            <w:pStyle w:val="Header"/>
                            <w:rPr>
                              <w:lang w:val="fr-FR"/>
                            </w:rPr>
                          </w:pPr>
                          <w:r w:rsidRPr="007604D6">
                            <w:rPr>
                              <w:color w:val="00468B"/>
                              <w:lang w:val="fr-FR"/>
                            </w:rPr>
                            <w:t>1619</w:t>
                          </w:r>
                          <w:r w:rsidRPr="007604D6">
                            <w:rPr>
                              <w:color w:val="00468B"/>
                              <w:spacing w:val="-4"/>
                              <w:lang w:val="fr-FR"/>
                            </w:rPr>
                            <w:t xml:space="preserve"> </w:t>
                          </w:r>
                          <w:r w:rsidRPr="007604D6">
                            <w:rPr>
                              <w:color w:val="00468B"/>
                              <w:lang w:val="fr-FR"/>
                            </w:rPr>
                            <w:t>Duke</w:t>
                          </w:r>
                          <w:r w:rsidRPr="007604D6">
                            <w:rPr>
                              <w:color w:val="00468B"/>
                              <w:spacing w:val="-3"/>
                              <w:lang w:val="fr-FR"/>
                            </w:rPr>
                            <w:t xml:space="preserve"> </w:t>
                          </w:r>
                          <w:r w:rsidRPr="007604D6">
                            <w:rPr>
                              <w:color w:val="00468B"/>
                              <w:lang w:val="fr-FR"/>
                            </w:rPr>
                            <w:t>Street</w:t>
                          </w:r>
                        </w:p>
                        <w:p w14:paraId="298FA85A" w14:textId="5FCAA1C0" w:rsidR="00A608DD" w:rsidRDefault="003C64AD" w:rsidP="00A608DD">
                          <w:pPr>
                            <w:pStyle w:val="Header"/>
                            <w:spacing w:before="14"/>
                            <w:rPr>
                              <w:color w:val="00468B"/>
                              <w:lang w:val="fr-FR"/>
                            </w:rPr>
                          </w:pPr>
                          <w:r w:rsidRPr="007604D6">
                            <w:rPr>
                              <w:color w:val="00468B"/>
                              <w:lang w:val="fr-FR"/>
                            </w:rPr>
                            <w:t>Alexandria, VA</w:t>
                          </w:r>
                          <w:r w:rsidR="00A608DD" w:rsidRPr="007604D6">
                            <w:rPr>
                              <w:color w:val="00468B"/>
                              <w:lang w:val="fr-FR"/>
                            </w:rPr>
                            <w:t xml:space="preserve"> 22314-3406,</w:t>
                          </w:r>
                          <w:r w:rsidR="00A608DD" w:rsidRPr="007604D6">
                            <w:rPr>
                              <w:color w:val="00468B"/>
                              <w:spacing w:val="-17"/>
                              <w:lang w:val="fr-FR"/>
                            </w:rPr>
                            <w:t xml:space="preserve"> </w:t>
                          </w:r>
                          <w:r w:rsidR="00A608DD" w:rsidRPr="007604D6">
                            <w:rPr>
                              <w:color w:val="00468B"/>
                              <w:lang w:val="fr-FR"/>
                            </w:rPr>
                            <w:t>USA</w:t>
                          </w:r>
                        </w:p>
                        <w:p w14:paraId="0057B161" w14:textId="10E377B9" w:rsidR="00A529E8" w:rsidRPr="007604D6" w:rsidRDefault="00A529E8" w:rsidP="00A608DD">
                          <w:pPr>
                            <w:pStyle w:val="Header"/>
                            <w:spacing w:before="14"/>
                            <w:rPr>
                              <w:lang w:val="fr-FR"/>
                            </w:rPr>
                          </w:pPr>
                          <w:hyperlink r:id="rId1" w:history="1">
                            <w:r w:rsidRPr="00880839">
                              <w:rPr>
                                <w:rStyle w:val="Hyperlink"/>
                                <w:lang w:val="fr-FR"/>
                              </w:rPr>
                              <w:t>www.iadr.org</w:t>
                            </w:r>
                          </w:hyperlink>
                          <w:r>
                            <w:rPr>
                              <w:color w:val="00468B"/>
                              <w:lang w:val="fr-FR"/>
                            </w:rPr>
                            <w:t xml:space="preserve"> </w:t>
                          </w:r>
                        </w:p>
                        <w:p w14:paraId="073A5AF1" w14:textId="6004C9EA" w:rsidR="00A608DD" w:rsidRPr="007604D6" w:rsidRDefault="00A608DD" w:rsidP="00A529E8">
                          <w:pPr>
                            <w:spacing w:before="44"/>
                            <w:rPr>
                              <w:rFonts w:ascii="GillSans-SemiBold" w:hAnsi="GillSans-SemiBold"/>
                              <w:b/>
                              <w:sz w:val="20"/>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5C957" id="_x0000_t202" coordsize="21600,21600" o:spt="202" path="m,l,21600r21600,l21600,xe">
              <v:stroke joinstyle="miter"/>
              <v:path gradientshapeok="t" o:connecttype="rect"/>
            </v:shapetype>
            <v:shape id="Text Box 2" o:spid="_x0000_s1026" type="#_x0000_t202" style="position:absolute;margin-left:431.5pt;margin-top:684.9pt;width:185pt;height:74.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" filled="f" stroked="f">
              <v:path arrowok="t"/>
              <v:textbox inset="0,0,0,0">
                <w:txbxContent>
                  <w:p w14:paraId="1C0E1190" w14:textId="1CC975C1" w:rsidR="00A608DD" w:rsidRPr="007604D6" w:rsidRDefault="00A608DD" w:rsidP="00A608DD">
                    <w:pPr>
                      <w:pStyle w:val="Header"/>
                      <w:spacing w:before="20"/>
                      <w:rPr>
                        <w:lang w:val="fr-FR"/>
                      </w:rPr>
                    </w:pPr>
                    <w:r w:rsidRPr="007604D6">
                      <w:rPr>
                        <w:color w:val="00468B"/>
                        <w:lang w:val="fr-FR"/>
                      </w:rPr>
                      <w:t>T</w:t>
                    </w:r>
                    <w:r w:rsidRPr="007604D6">
                      <w:rPr>
                        <w:color w:val="00468B"/>
                        <w:spacing w:val="-6"/>
                        <w:lang w:val="fr-FR"/>
                      </w:rPr>
                      <w:t xml:space="preserve"> </w:t>
                    </w:r>
                    <w:r w:rsidRPr="007604D6">
                      <w:rPr>
                        <w:color w:val="00468B"/>
                        <w:lang w:val="fr-FR"/>
                      </w:rPr>
                      <w:t>+1.703.</w:t>
                    </w:r>
                    <w:r w:rsidR="00260F6A" w:rsidRPr="007604D6">
                      <w:rPr>
                        <w:color w:val="00468B"/>
                        <w:lang w:val="fr-FR"/>
                      </w:rPr>
                      <w:t>548.0066</w:t>
                    </w:r>
                  </w:p>
                  <w:p w14:paraId="62C49515" w14:textId="77777777" w:rsidR="00A608DD" w:rsidRPr="007604D6" w:rsidRDefault="00A608DD" w:rsidP="00A608DD">
                    <w:pPr>
                      <w:pStyle w:val="Header"/>
                      <w:rPr>
                        <w:lang w:val="fr-FR"/>
                      </w:rPr>
                    </w:pPr>
                    <w:r w:rsidRPr="007604D6">
                      <w:rPr>
                        <w:color w:val="00468B"/>
                        <w:lang w:val="fr-FR"/>
                      </w:rPr>
                      <w:t>F</w:t>
                    </w:r>
                    <w:r w:rsidRPr="007604D6">
                      <w:rPr>
                        <w:color w:val="00468B"/>
                        <w:spacing w:val="21"/>
                        <w:lang w:val="fr-FR"/>
                      </w:rPr>
                      <w:t xml:space="preserve"> </w:t>
                    </w:r>
                    <w:r w:rsidRPr="007604D6">
                      <w:rPr>
                        <w:color w:val="00468B"/>
                        <w:lang w:val="fr-FR"/>
                      </w:rPr>
                      <w:t>+1.703.548.1883</w:t>
                    </w:r>
                  </w:p>
                  <w:p w14:paraId="2A982351" w14:textId="77777777" w:rsidR="00A608DD" w:rsidRPr="007604D6" w:rsidRDefault="00A608DD" w:rsidP="00A608DD">
                    <w:pPr>
                      <w:pStyle w:val="Header"/>
                      <w:rPr>
                        <w:lang w:val="fr-FR"/>
                      </w:rPr>
                    </w:pPr>
                    <w:r w:rsidRPr="007604D6">
                      <w:rPr>
                        <w:color w:val="00468B"/>
                        <w:lang w:val="fr-FR"/>
                      </w:rPr>
                      <w:t>1619</w:t>
                    </w:r>
                    <w:r w:rsidRPr="007604D6">
                      <w:rPr>
                        <w:color w:val="00468B"/>
                        <w:spacing w:val="-4"/>
                        <w:lang w:val="fr-FR"/>
                      </w:rPr>
                      <w:t xml:space="preserve"> </w:t>
                    </w:r>
                    <w:r w:rsidRPr="007604D6">
                      <w:rPr>
                        <w:color w:val="00468B"/>
                        <w:lang w:val="fr-FR"/>
                      </w:rPr>
                      <w:t>Duke</w:t>
                    </w:r>
                    <w:r w:rsidRPr="007604D6">
                      <w:rPr>
                        <w:color w:val="00468B"/>
                        <w:spacing w:val="-3"/>
                        <w:lang w:val="fr-FR"/>
                      </w:rPr>
                      <w:t xml:space="preserve"> </w:t>
                    </w:r>
                    <w:r w:rsidRPr="007604D6">
                      <w:rPr>
                        <w:color w:val="00468B"/>
                        <w:lang w:val="fr-FR"/>
                      </w:rPr>
                      <w:t>Street</w:t>
                    </w:r>
                  </w:p>
                  <w:p w14:paraId="298FA85A" w14:textId="5FCAA1C0" w:rsidR="00A608DD" w:rsidRDefault="003C64AD" w:rsidP="00A608DD">
                    <w:pPr>
                      <w:pStyle w:val="Header"/>
                      <w:spacing w:before="14"/>
                      <w:rPr>
                        <w:color w:val="00468B"/>
                        <w:lang w:val="fr-FR"/>
                      </w:rPr>
                    </w:pPr>
                    <w:r w:rsidRPr="007604D6">
                      <w:rPr>
                        <w:color w:val="00468B"/>
                        <w:lang w:val="fr-FR"/>
                      </w:rPr>
                      <w:t>Alexandria, VA</w:t>
                    </w:r>
                    <w:r w:rsidR="00A608DD" w:rsidRPr="007604D6">
                      <w:rPr>
                        <w:color w:val="00468B"/>
                        <w:lang w:val="fr-FR"/>
                      </w:rPr>
                      <w:t xml:space="preserve"> 22314-3406,</w:t>
                    </w:r>
                    <w:r w:rsidR="00A608DD" w:rsidRPr="007604D6">
                      <w:rPr>
                        <w:color w:val="00468B"/>
                        <w:spacing w:val="-17"/>
                        <w:lang w:val="fr-FR"/>
                      </w:rPr>
                      <w:t xml:space="preserve"> </w:t>
                    </w:r>
                    <w:r w:rsidR="00A608DD" w:rsidRPr="007604D6">
                      <w:rPr>
                        <w:color w:val="00468B"/>
                        <w:lang w:val="fr-FR"/>
                      </w:rPr>
                      <w:t>USA</w:t>
                    </w:r>
                  </w:p>
                  <w:p w14:paraId="0057B161" w14:textId="10E377B9" w:rsidR="00A529E8" w:rsidRPr="007604D6" w:rsidRDefault="00A529E8" w:rsidP="00A608DD">
                    <w:pPr>
                      <w:pStyle w:val="Header"/>
                      <w:spacing w:before="14"/>
                      <w:rPr>
                        <w:lang w:val="fr-FR"/>
                      </w:rPr>
                    </w:pPr>
                    <w:hyperlink r:id="rId2" w:history="1">
                      <w:r w:rsidRPr="00880839">
                        <w:rPr>
                          <w:rStyle w:val="Hyperlink"/>
                          <w:lang w:val="fr-FR"/>
                        </w:rPr>
                        <w:t>www.iadr.org</w:t>
                      </w:r>
                    </w:hyperlink>
                    <w:r>
                      <w:rPr>
                        <w:color w:val="00468B"/>
                        <w:lang w:val="fr-FR"/>
                      </w:rPr>
                      <w:t xml:space="preserve"> </w:t>
                    </w:r>
                  </w:p>
                  <w:p w14:paraId="073A5AF1" w14:textId="6004C9EA" w:rsidR="00A608DD" w:rsidRPr="007604D6" w:rsidRDefault="00A608DD" w:rsidP="00A529E8">
                    <w:pPr>
                      <w:spacing w:before="44"/>
                      <w:rPr>
                        <w:rFonts w:ascii="GillSans-SemiBold" w:hAnsi="GillSans-SemiBold"/>
                        <w:b/>
                        <w:sz w:val="20"/>
                        <w:lang w:val="fr-FR"/>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8A9DB" w14:textId="77777777" w:rsidR="00F44B0D" w:rsidRDefault="00F44B0D" w:rsidP="00D14F46">
      <w:r>
        <w:separator/>
      </w:r>
    </w:p>
  </w:footnote>
  <w:footnote w:type="continuationSeparator" w:id="0">
    <w:p w14:paraId="0DEC9E3E" w14:textId="77777777" w:rsidR="00F44B0D" w:rsidRDefault="00F44B0D" w:rsidP="00D14F46">
      <w:r>
        <w:continuationSeparator/>
      </w:r>
    </w:p>
  </w:footnote>
  <w:footnote w:type="continuationNotice" w:id="1">
    <w:p w14:paraId="3A7C1F85" w14:textId="77777777" w:rsidR="00F44B0D" w:rsidRDefault="00F44B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6AFB" w14:textId="2B94903D" w:rsidR="009C751F" w:rsidRDefault="009C75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3D38" w14:textId="6AF8B18E" w:rsidR="00D14F46" w:rsidRPr="00D14F46" w:rsidRDefault="00EB6BCC">
    <w:pPr>
      <w:pStyle w:val="Header"/>
      <w:rPr>
        <w:b/>
        <w:bCs/>
      </w:rPr>
    </w:pPr>
    <w:r>
      <w:rPr>
        <w:b/>
        <w:bCs/>
        <w:noProof/>
      </w:rPr>
      <w:drawing>
        <wp:anchor distT="0" distB="0" distL="114300" distR="114300" simplePos="0" relativeHeight="251658752" behindDoc="0" locked="0" layoutInCell="1" allowOverlap="1" wp14:anchorId="120B8DE4" wp14:editId="0F3F7E84">
          <wp:simplePos x="0" y="0"/>
          <wp:positionH relativeFrom="column">
            <wp:posOffset>-95250</wp:posOffset>
          </wp:positionH>
          <wp:positionV relativeFrom="paragraph">
            <wp:posOffset>-504825</wp:posOffset>
          </wp:positionV>
          <wp:extent cx="4125489" cy="647700"/>
          <wp:effectExtent l="0" t="0" r="8890" b="0"/>
          <wp:wrapNone/>
          <wp:docPr id="1608537867" name="Picture 1608537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97107" name="Picture 44079710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25489"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58F6"/>
    <w:multiLevelType w:val="hybridMultilevel"/>
    <w:tmpl w:val="2F80A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701DE"/>
    <w:multiLevelType w:val="hybridMultilevel"/>
    <w:tmpl w:val="4F086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D49E1"/>
    <w:multiLevelType w:val="multilevel"/>
    <w:tmpl w:val="19AA12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F8002A"/>
    <w:multiLevelType w:val="hybridMultilevel"/>
    <w:tmpl w:val="BCCA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951F59"/>
    <w:multiLevelType w:val="hybridMultilevel"/>
    <w:tmpl w:val="97E6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E31D5"/>
    <w:multiLevelType w:val="hybridMultilevel"/>
    <w:tmpl w:val="6CFC6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5B75B2"/>
    <w:multiLevelType w:val="hybridMultilevel"/>
    <w:tmpl w:val="1258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641787"/>
    <w:multiLevelType w:val="hybridMultilevel"/>
    <w:tmpl w:val="84927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516132">
    <w:abstractNumId w:val="5"/>
  </w:num>
  <w:num w:numId="2" w16cid:durableId="245959823">
    <w:abstractNumId w:val="0"/>
  </w:num>
  <w:num w:numId="3" w16cid:durableId="1857769990">
    <w:abstractNumId w:val="2"/>
  </w:num>
  <w:num w:numId="4" w16cid:durableId="1685741321">
    <w:abstractNumId w:val="3"/>
  </w:num>
  <w:num w:numId="5" w16cid:durableId="1274288783">
    <w:abstractNumId w:val="1"/>
  </w:num>
  <w:num w:numId="6" w16cid:durableId="2067339223">
    <w:abstractNumId w:val="4"/>
  </w:num>
  <w:num w:numId="7" w16cid:durableId="1289552664">
    <w:abstractNumId w:val="7"/>
  </w:num>
  <w:num w:numId="8" w16cid:durableId="1393456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6"/>
    <w:rsid w:val="00000380"/>
    <w:rsid w:val="000133E7"/>
    <w:rsid w:val="0001355F"/>
    <w:rsid w:val="00013C8F"/>
    <w:rsid w:val="00013F41"/>
    <w:rsid w:val="00015E19"/>
    <w:rsid w:val="00020101"/>
    <w:rsid w:val="000223AB"/>
    <w:rsid w:val="0002365D"/>
    <w:rsid w:val="00026CF0"/>
    <w:rsid w:val="000314DD"/>
    <w:rsid w:val="000412F9"/>
    <w:rsid w:val="00042835"/>
    <w:rsid w:val="000432D3"/>
    <w:rsid w:val="00045A9D"/>
    <w:rsid w:val="00046F52"/>
    <w:rsid w:val="00054A34"/>
    <w:rsid w:val="00056E53"/>
    <w:rsid w:val="00056EF0"/>
    <w:rsid w:val="00057A3D"/>
    <w:rsid w:val="00057FAC"/>
    <w:rsid w:val="00064C54"/>
    <w:rsid w:val="00073A44"/>
    <w:rsid w:val="00074BAA"/>
    <w:rsid w:val="00076D58"/>
    <w:rsid w:val="00081DF4"/>
    <w:rsid w:val="00086C6F"/>
    <w:rsid w:val="00093CAC"/>
    <w:rsid w:val="000941DC"/>
    <w:rsid w:val="000953D2"/>
    <w:rsid w:val="0009585F"/>
    <w:rsid w:val="0009769D"/>
    <w:rsid w:val="00097DB2"/>
    <w:rsid w:val="000A3E29"/>
    <w:rsid w:val="000A5340"/>
    <w:rsid w:val="000A62F1"/>
    <w:rsid w:val="000A6E8A"/>
    <w:rsid w:val="000B20B4"/>
    <w:rsid w:val="000B581B"/>
    <w:rsid w:val="000B6F5E"/>
    <w:rsid w:val="000B6FC3"/>
    <w:rsid w:val="000C12BE"/>
    <w:rsid w:val="000C2391"/>
    <w:rsid w:val="000D1F62"/>
    <w:rsid w:val="000D3A92"/>
    <w:rsid w:val="000D504A"/>
    <w:rsid w:val="000D71B0"/>
    <w:rsid w:val="000E3C09"/>
    <w:rsid w:val="000F2A6E"/>
    <w:rsid w:val="000F3FBC"/>
    <w:rsid w:val="000F65A1"/>
    <w:rsid w:val="001001F1"/>
    <w:rsid w:val="00101EFE"/>
    <w:rsid w:val="00105199"/>
    <w:rsid w:val="0010624A"/>
    <w:rsid w:val="00107C62"/>
    <w:rsid w:val="001159DA"/>
    <w:rsid w:val="00130182"/>
    <w:rsid w:val="00133A51"/>
    <w:rsid w:val="001344D5"/>
    <w:rsid w:val="0014557E"/>
    <w:rsid w:val="001512FF"/>
    <w:rsid w:val="0015752D"/>
    <w:rsid w:val="00160CA2"/>
    <w:rsid w:val="00161A77"/>
    <w:rsid w:val="00164007"/>
    <w:rsid w:val="001674F9"/>
    <w:rsid w:val="00172839"/>
    <w:rsid w:val="00172D14"/>
    <w:rsid w:val="00175489"/>
    <w:rsid w:val="00175BF4"/>
    <w:rsid w:val="00175F61"/>
    <w:rsid w:val="00177687"/>
    <w:rsid w:val="00181029"/>
    <w:rsid w:val="00181101"/>
    <w:rsid w:val="0018127C"/>
    <w:rsid w:val="00182FEC"/>
    <w:rsid w:val="0018467A"/>
    <w:rsid w:val="00184F40"/>
    <w:rsid w:val="001867C9"/>
    <w:rsid w:val="00187CD8"/>
    <w:rsid w:val="0019151D"/>
    <w:rsid w:val="00194754"/>
    <w:rsid w:val="00196C8C"/>
    <w:rsid w:val="001A3948"/>
    <w:rsid w:val="001B291E"/>
    <w:rsid w:val="001B46B8"/>
    <w:rsid w:val="001B5933"/>
    <w:rsid w:val="001C1C07"/>
    <w:rsid w:val="001C22D1"/>
    <w:rsid w:val="001C707D"/>
    <w:rsid w:val="001D4BBE"/>
    <w:rsid w:val="001D5502"/>
    <w:rsid w:val="001D7EFE"/>
    <w:rsid w:val="001E0E35"/>
    <w:rsid w:val="001E352E"/>
    <w:rsid w:val="001E4787"/>
    <w:rsid w:val="001E59F8"/>
    <w:rsid w:val="001E69C3"/>
    <w:rsid w:val="001E7709"/>
    <w:rsid w:val="001F1673"/>
    <w:rsid w:val="001F1CA0"/>
    <w:rsid w:val="001F6D05"/>
    <w:rsid w:val="001F7A27"/>
    <w:rsid w:val="001F7B60"/>
    <w:rsid w:val="001F7B90"/>
    <w:rsid w:val="002060CC"/>
    <w:rsid w:val="00207DDE"/>
    <w:rsid w:val="00207FE0"/>
    <w:rsid w:val="002109A5"/>
    <w:rsid w:val="00215028"/>
    <w:rsid w:val="00215CEA"/>
    <w:rsid w:val="00216334"/>
    <w:rsid w:val="00220BAA"/>
    <w:rsid w:val="00222973"/>
    <w:rsid w:val="0022354C"/>
    <w:rsid w:val="00224288"/>
    <w:rsid w:val="00230EFD"/>
    <w:rsid w:val="00232330"/>
    <w:rsid w:val="00232335"/>
    <w:rsid w:val="00234672"/>
    <w:rsid w:val="00243052"/>
    <w:rsid w:val="00244C44"/>
    <w:rsid w:val="00252731"/>
    <w:rsid w:val="00255F99"/>
    <w:rsid w:val="002603B2"/>
    <w:rsid w:val="00260F6A"/>
    <w:rsid w:val="00266A2E"/>
    <w:rsid w:val="00267E42"/>
    <w:rsid w:val="0027108C"/>
    <w:rsid w:val="00272999"/>
    <w:rsid w:val="00272F7E"/>
    <w:rsid w:val="00275556"/>
    <w:rsid w:val="00276FAC"/>
    <w:rsid w:val="0028007E"/>
    <w:rsid w:val="00280BB4"/>
    <w:rsid w:val="00284EA8"/>
    <w:rsid w:val="00290B1D"/>
    <w:rsid w:val="0029145C"/>
    <w:rsid w:val="00291ED6"/>
    <w:rsid w:val="00297727"/>
    <w:rsid w:val="002A01B8"/>
    <w:rsid w:val="002A0886"/>
    <w:rsid w:val="002A3D9C"/>
    <w:rsid w:val="002A3FE3"/>
    <w:rsid w:val="002A6B77"/>
    <w:rsid w:val="002B3104"/>
    <w:rsid w:val="002B35E5"/>
    <w:rsid w:val="002C6C2D"/>
    <w:rsid w:val="002D7B81"/>
    <w:rsid w:val="002E08A5"/>
    <w:rsid w:val="002E08D3"/>
    <w:rsid w:val="002E0D7C"/>
    <w:rsid w:val="002E1B83"/>
    <w:rsid w:val="002E35D7"/>
    <w:rsid w:val="002F0856"/>
    <w:rsid w:val="002F5856"/>
    <w:rsid w:val="003008EE"/>
    <w:rsid w:val="003063DC"/>
    <w:rsid w:val="003075B6"/>
    <w:rsid w:val="00317025"/>
    <w:rsid w:val="00320BFF"/>
    <w:rsid w:val="0032325F"/>
    <w:rsid w:val="0032630C"/>
    <w:rsid w:val="003267A0"/>
    <w:rsid w:val="00330ADE"/>
    <w:rsid w:val="0033237B"/>
    <w:rsid w:val="00333097"/>
    <w:rsid w:val="003342E1"/>
    <w:rsid w:val="00337F53"/>
    <w:rsid w:val="003439D8"/>
    <w:rsid w:val="00344FEA"/>
    <w:rsid w:val="00345D1E"/>
    <w:rsid w:val="0034729B"/>
    <w:rsid w:val="00347492"/>
    <w:rsid w:val="0035430A"/>
    <w:rsid w:val="003545BD"/>
    <w:rsid w:val="00356734"/>
    <w:rsid w:val="003568B6"/>
    <w:rsid w:val="00356D58"/>
    <w:rsid w:val="00357EBD"/>
    <w:rsid w:val="00362390"/>
    <w:rsid w:val="00363A27"/>
    <w:rsid w:val="0036403B"/>
    <w:rsid w:val="003644C5"/>
    <w:rsid w:val="0036565C"/>
    <w:rsid w:val="0036681A"/>
    <w:rsid w:val="00372742"/>
    <w:rsid w:val="0037641B"/>
    <w:rsid w:val="00381728"/>
    <w:rsid w:val="003824D5"/>
    <w:rsid w:val="00383441"/>
    <w:rsid w:val="0039203E"/>
    <w:rsid w:val="00392E7C"/>
    <w:rsid w:val="00395D29"/>
    <w:rsid w:val="00397A78"/>
    <w:rsid w:val="003A5B63"/>
    <w:rsid w:val="003A5ED6"/>
    <w:rsid w:val="003B56D8"/>
    <w:rsid w:val="003B7BA6"/>
    <w:rsid w:val="003C1E79"/>
    <w:rsid w:val="003C263C"/>
    <w:rsid w:val="003C4D68"/>
    <w:rsid w:val="003C64AD"/>
    <w:rsid w:val="003C72AC"/>
    <w:rsid w:val="003C7EA0"/>
    <w:rsid w:val="003D17D4"/>
    <w:rsid w:val="003D1B42"/>
    <w:rsid w:val="003D5994"/>
    <w:rsid w:val="003D5CBA"/>
    <w:rsid w:val="003D5D9B"/>
    <w:rsid w:val="003D6010"/>
    <w:rsid w:val="003E1DD2"/>
    <w:rsid w:val="003E3A49"/>
    <w:rsid w:val="003E50BC"/>
    <w:rsid w:val="003E54DA"/>
    <w:rsid w:val="003E5DFF"/>
    <w:rsid w:val="003F354E"/>
    <w:rsid w:val="003F44E0"/>
    <w:rsid w:val="003F4BFE"/>
    <w:rsid w:val="003F5292"/>
    <w:rsid w:val="003F6809"/>
    <w:rsid w:val="004010E4"/>
    <w:rsid w:val="00403D82"/>
    <w:rsid w:val="00407F91"/>
    <w:rsid w:val="00415A30"/>
    <w:rsid w:val="00416357"/>
    <w:rsid w:val="00417ADA"/>
    <w:rsid w:val="00420DC6"/>
    <w:rsid w:val="00421E55"/>
    <w:rsid w:val="00425620"/>
    <w:rsid w:val="00426295"/>
    <w:rsid w:val="00426AEF"/>
    <w:rsid w:val="00430E4A"/>
    <w:rsid w:val="00432275"/>
    <w:rsid w:val="004354A0"/>
    <w:rsid w:val="00436542"/>
    <w:rsid w:val="0044144C"/>
    <w:rsid w:val="00441785"/>
    <w:rsid w:val="004447BC"/>
    <w:rsid w:val="00447E97"/>
    <w:rsid w:val="0046011B"/>
    <w:rsid w:val="00463417"/>
    <w:rsid w:val="004652B7"/>
    <w:rsid w:val="004709DE"/>
    <w:rsid w:val="00470FA7"/>
    <w:rsid w:val="00472E52"/>
    <w:rsid w:val="004753BD"/>
    <w:rsid w:val="0047649D"/>
    <w:rsid w:val="004764DE"/>
    <w:rsid w:val="00484646"/>
    <w:rsid w:val="00486924"/>
    <w:rsid w:val="004906ED"/>
    <w:rsid w:val="00495479"/>
    <w:rsid w:val="004A056D"/>
    <w:rsid w:val="004A0C63"/>
    <w:rsid w:val="004A3654"/>
    <w:rsid w:val="004A533D"/>
    <w:rsid w:val="004A77C0"/>
    <w:rsid w:val="004B34B4"/>
    <w:rsid w:val="004B6F7D"/>
    <w:rsid w:val="004C1882"/>
    <w:rsid w:val="004C472D"/>
    <w:rsid w:val="004C4B11"/>
    <w:rsid w:val="004C58A0"/>
    <w:rsid w:val="004C67C7"/>
    <w:rsid w:val="004D4D70"/>
    <w:rsid w:val="004D4DDE"/>
    <w:rsid w:val="004D4FA0"/>
    <w:rsid w:val="004E20B0"/>
    <w:rsid w:val="004E5B17"/>
    <w:rsid w:val="004F4601"/>
    <w:rsid w:val="004F479A"/>
    <w:rsid w:val="00500B6E"/>
    <w:rsid w:val="00503ED8"/>
    <w:rsid w:val="00504929"/>
    <w:rsid w:val="00505381"/>
    <w:rsid w:val="005167A1"/>
    <w:rsid w:val="0052402F"/>
    <w:rsid w:val="005270F8"/>
    <w:rsid w:val="005316F2"/>
    <w:rsid w:val="0053399E"/>
    <w:rsid w:val="005349DA"/>
    <w:rsid w:val="00535E28"/>
    <w:rsid w:val="0054488C"/>
    <w:rsid w:val="005448D9"/>
    <w:rsid w:val="00546C1B"/>
    <w:rsid w:val="00547EE1"/>
    <w:rsid w:val="00550DB0"/>
    <w:rsid w:val="00551C8E"/>
    <w:rsid w:val="00552DF9"/>
    <w:rsid w:val="005541D6"/>
    <w:rsid w:val="00561CCB"/>
    <w:rsid w:val="00577388"/>
    <w:rsid w:val="0058068D"/>
    <w:rsid w:val="0058615C"/>
    <w:rsid w:val="00590034"/>
    <w:rsid w:val="0059331C"/>
    <w:rsid w:val="00593842"/>
    <w:rsid w:val="00595D9A"/>
    <w:rsid w:val="00595E28"/>
    <w:rsid w:val="005964C4"/>
    <w:rsid w:val="0059773E"/>
    <w:rsid w:val="00597DC0"/>
    <w:rsid w:val="005A53E6"/>
    <w:rsid w:val="005A681F"/>
    <w:rsid w:val="005A6C1E"/>
    <w:rsid w:val="005B109A"/>
    <w:rsid w:val="005B1FDA"/>
    <w:rsid w:val="005B5789"/>
    <w:rsid w:val="005B5C85"/>
    <w:rsid w:val="005C29A2"/>
    <w:rsid w:val="005C2DA1"/>
    <w:rsid w:val="005C6AA0"/>
    <w:rsid w:val="005C744C"/>
    <w:rsid w:val="005D3182"/>
    <w:rsid w:val="005D31AD"/>
    <w:rsid w:val="005D65F0"/>
    <w:rsid w:val="005E5313"/>
    <w:rsid w:val="005F1643"/>
    <w:rsid w:val="005F4AA9"/>
    <w:rsid w:val="005F4E67"/>
    <w:rsid w:val="0060060A"/>
    <w:rsid w:val="00606D57"/>
    <w:rsid w:val="00611656"/>
    <w:rsid w:val="006116EA"/>
    <w:rsid w:val="00612E12"/>
    <w:rsid w:val="00617C75"/>
    <w:rsid w:val="00620B92"/>
    <w:rsid w:val="0062235E"/>
    <w:rsid w:val="00622CFE"/>
    <w:rsid w:val="00627910"/>
    <w:rsid w:val="00630C89"/>
    <w:rsid w:val="00631E54"/>
    <w:rsid w:val="0063257C"/>
    <w:rsid w:val="0063489F"/>
    <w:rsid w:val="00636312"/>
    <w:rsid w:val="006366E7"/>
    <w:rsid w:val="006374D4"/>
    <w:rsid w:val="00640F55"/>
    <w:rsid w:val="00642058"/>
    <w:rsid w:val="00642141"/>
    <w:rsid w:val="006437F4"/>
    <w:rsid w:val="0065104A"/>
    <w:rsid w:val="00656201"/>
    <w:rsid w:val="006563BC"/>
    <w:rsid w:val="0066041A"/>
    <w:rsid w:val="00661EC3"/>
    <w:rsid w:val="00662136"/>
    <w:rsid w:val="00662877"/>
    <w:rsid w:val="00662CAF"/>
    <w:rsid w:val="006669BA"/>
    <w:rsid w:val="00666BD8"/>
    <w:rsid w:val="006731F5"/>
    <w:rsid w:val="006738AA"/>
    <w:rsid w:val="0067439F"/>
    <w:rsid w:val="0067724D"/>
    <w:rsid w:val="006824B6"/>
    <w:rsid w:val="006864EE"/>
    <w:rsid w:val="00686D8D"/>
    <w:rsid w:val="006906AF"/>
    <w:rsid w:val="00691630"/>
    <w:rsid w:val="006918D3"/>
    <w:rsid w:val="00693717"/>
    <w:rsid w:val="006A0186"/>
    <w:rsid w:val="006A5505"/>
    <w:rsid w:val="006A6705"/>
    <w:rsid w:val="006A72E9"/>
    <w:rsid w:val="006B03D7"/>
    <w:rsid w:val="006B505A"/>
    <w:rsid w:val="006B51F6"/>
    <w:rsid w:val="006C02B6"/>
    <w:rsid w:val="006C0932"/>
    <w:rsid w:val="006C0E70"/>
    <w:rsid w:val="006C1341"/>
    <w:rsid w:val="006C30B9"/>
    <w:rsid w:val="006C3CA2"/>
    <w:rsid w:val="006C59CE"/>
    <w:rsid w:val="006D398B"/>
    <w:rsid w:val="006D4ADA"/>
    <w:rsid w:val="006F72A8"/>
    <w:rsid w:val="006F7635"/>
    <w:rsid w:val="006F7DED"/>
    <w:rsid w:val="006F7E96"/>
    <w:rsid w:val="00701E48"/>
    <w:rsid w:val="00705497"/>
    <w:rsid w:val="007056BB"/>
    <w:rsid w:val="007121C9"/>
    <w:rsid w:val="007125DD"/>
    <w:rsid w:val="00713682"/>
    <w:rsid w:val="00715557"/>
    <w:rsid w:val="00716FFA"/>
    <w:rsid w:val="007208CC"/>
    <w:rsid w:val="0072179E"/>
    <w:rsid w:val="00737831"/>
    <w:rsid w:val="007406D1"/>
    <w:rsid w:val="0074246D"/>
    <w:rsid w:val="007460E1"/>
    <w:rsid w:val="00752658"/>
    <w:rsid w:val="007567B3"/>
    <w:rsid w:val="007604D6"/>
    <w:rsid w:val="00760995"/>
    <w:rsid w:val="007617EA"/>
    <w:rsid w:val="00761E17"/>
    <w:rsid w:val="00767733"/>
    <w:rsid w:val="00767D56"/>
    <w:rsid w:val="007744B7"/>
    <w:rsid w:val="00774941"/>
    <w:rsid w:val="007749B3"/>
    <w:rsid w:val="00775CF7"/>
    <w:rsid w:val="00775CFA"/>
    <w:rsid w:val="0077630F"/>
    <w:rsid w:val="00777091"/>
    <w:rsid w:val="00777504"/>
    <w:rsid w:val="00784D12"/>
    <w:rsid w:val="00787F83"/>
    <w:rsid w:val="00792CA4"/>
    <w:rsid w:val="007A3816"/>
    <w:rsid w:val="007A3FF7"/>
    <w:rsid w:val="007A49BC"/>
    <w:rsid w:val="007B17B5"/>
    <w:rsid w:val="007B241A"/>
    <w:rsid w:val="007B34B5"/>
    <w:rsid w:val="007B35CE"/>
    <w:rsid w:val="007B3F3B"/>
    <w:rsid w:val="007B4648"/>
    <w:rsid w:val="007B4C23"/>
    <w:rsid w:val="007B7DD9"/>
    <w:rsid w:val="007C2AF0"/>
    <w:rsid w:val="007C40A9"/>
    <w:rsid w:val="007C6300"/>
    <w:rsid w:val="007C64F2"/>
    <w:rsid w:val="007C773C"/>
    <w:rsid w:val="007D65BD"/>
    <w:rsid w:val="007D7608"/>
    <w:rsid w:val="007E1BFB"/>
    <w:rsid w:val="007E21E5"/>
    <w:rsid w:val="007E2C5F"/>
    <w:rsid w:val="007E39D4"/>
    <w:rsid w:val="007E3DD7"/>
    <w:rsid w:val="007E55FA"/>
    <w:rsid w:val="007E736E"/>
    <w:rsid w:val="007F32DB"/>
    <w:rsid w:val="007F44DC"/>
    <w:rsid w:val="007F496D"/>
    <w:rsid w:val="00800525"/>
    <w:rsid w:val="00800CC2"/>
    <w:rsid w:val="0080274A"/>
    <w:rsid w:val="0080672A"/>
    <w:rsid w:val="008067A7"/>
    <w:rsid w:val="00807750"/>
    <w:rsid w:val="00807C4E"/>
    <w:rsid w:val="00816FD4"/>
    <w:rsid w:val="00822725"/>
    <w:rsid w:val="008241AE"/>
    <w:rsid w:val="00824D8D"/>
    <w:rsid w:val="00827AB9"/>
    <w:rsid w:val="0083073B"/>
    <w:rsid w:val="00832F15"/>
    <w:rsid w:val="00834242"/>
    <w:rsid w:val="0083598A"/>
    <w:rsid w:val="00835BC1"/>
    <w:rsid w:val="00844842"/>
    <w:rsid w:val="00844D45"/>
    <w:rsid w:val="00845101"/>
    <w:rsid w:val="00850FC9"/>
    <w:rsid w:val="00852943"/>
    <w:rsid w:val="00855C41"/>
    <w:rsid w:val="00856C8B"/>
    <w:rsid w:val="00861212"/>
    <w:rsid w:val="00862E6F"/>
    <w:rsid w:val="00863C52"/>
    <w:rsid w:val="008653A0"/>
    <w:rsid w:val="00871F8C"/>
    <w:rsid w:val="00872E98"/>
    <w:rsid w:val="008731B3"/>
    <w:rsid w:val="0087604E"/>
    <w:rsid w:val="00876FB6"/>
    <w:rsid w:val="00877986"/>
    <w:rsid w:val="00877EA0"/>
    <w:rsid w:val="00877F90"/>
    <w:rsid w:val="00880B11"/>
    <w:rsid w:val="0088483B"/>
    <w:rsid w:val="008908F9"/>
    <w:rsid w:val="008930F1"/>
    <w:rsid w:val="0089334A"/>
    <w:rsid w:val="008933A4"/>
    <w:rsid w:val="008A015D"/>
    <w:rsid w:val="008A5DA5"/>
    <w:rsid w:val="008A64BE"/>
    <w:rsid w:val="008A6E67"/>
    <w:rsid w:val="008A7D42"/>
    <w:rsid w:val="008B0E14"/>
    <w:rsid w:val="008B7877"/>
    <w:rsid w:val="008C0D90"/>
    <w:rsid w:val="008C163B"/>
    <w:rsid w:val="008C2090"/>
    <w:rsid w:val="008C267D"/>
    <w:rsid w:val="008C2824"/>
    <w:rsid w:val="008C388A"/>
    <w:rsid w:val="008D048B"/>
    <w:rsid w:val="008D0827"/>
    <w:rsid w:val="008D1182"/>
    <w:rsid w:val="008D15E4"/>
    <w:rsid w:val="008D2CBE"/>
    <w:rsid w:val="008D5109"/>
    <w:rsid w:val="008D638E"/>
    <w:rsid w:val="008D6DCA"/>
    <w:rsid w:val="008E4C35"/>
    <w:rsid w:val="008E547D"/>
    <w:rsid w:val="008E63D1"/>
    <w:rsid w:val="008F06C5"/>
    <w:rsid w:val="008F2B64"/>
    <w:rsid w:val="008F34C0"/>
    <w:rsid w:val="008F65EA"/>
    <w:rsid w:val="0090020A"/>
    <w:rsid w:val="00900356"/>
    <w:rsid w:val="00902940"/>
    <w:rsid w:val="00902F38"/>
    <w:rsid w:val="009030C5"/>
    <w:rsid w:val="009063EB"/>
    <w:rsid w:val="00907840"/>
    <w:rsid w:val="00921717"/>
    <w:rsid w:val="0092493B"/>
    <w:rsid w:val="0092520B"/>
    <w:rsid w:val="0092782C"/>
    <w:rsid w:val="009301B7"/>
    <w:rsid w:val="009308ED"/>
    <w:rsid w:val="00932BC2"/>
    <w:rsid w:val="009365BD"/>
    <w:rsid w:val="00937392"/>
    <w:rsid w:val="00941444"/>
    <w:rsid w:val="00942748"/>
    <w:rsid w:val="009505DB"/>
    <w:rsid w:val="00951C30"/>
    <w:rsid w:val="00965AE3"/>
    <w:rsid w:val="00966E09"/>
    <w:rsid w:val="00971E9C"/>
    <w:rsid w:val="00973C60"/>
    <w:rsid w:val="00973F19"/>
    <w:rsid w:val="00973FEB"/>
    <w:rsid w:val="00975AEB"/>
    <w:rsid w:val="00990360"/>
    <w:rsid w:val="009932CB"/>
    <w:rsid w:val="009936CF"/>
    <w:rsid w:val="0099491E"/>
    <w:rsid w:val="009A0F64"/>
    <w:rsid w:val="009A1ADF"/>
    <w:rsid w:val="009A2029"/>
    <w:rsid w:val="009A789F"/>
    <w:rsid w:val="009B0928"/>
    <w:rsid w:val="009B0C9C"/>
    <w:rsid w:val="009B58B9"/>
    <w:rsid w:val="009B7FE4"/>
    <w:rsid w:val="009C20F6"/>
    <w:rsid w:val="009C265D"/>
    <w:rsid w:val="009C26E2"/>
    <w:rsid w:val="009C2D09"/>
    <w:rsid w:val="009C4A58"/>
    <w:rsid w:val="009C67A4"/>
    <w:rsid w:val="009C6DDB"/>
    <w:rsid w:val="009C751F"/>
    <w:rsid w:val="009D289C"/>
    <w:rsid w:val="009D5128"/>
    <w:rsid w:val="009D56C7"/>
    <w:rsid w:val="009D718E"/>
    <w:rsid w:val="009D7E1B"/>
    <w:rsid w:val="009E7607"/>
    <w:rsid w:val="009F0356"/>
    <w:rsid w:val="009F04AA"/>
    <w:rsid w:val="009F13A1"/>
    <w:rsid w:val="009F14E6"/>
    <w:rsid w:val="009F1B2F"/>
    <w:rsid w:val="009F2BC4"/>
    <w:rsid w:val="009F3F19"/>
    <w:rsid w:val="009F6450"/>
    <w:rsid w:val="009F7D8B"/>
    <w:rsid w:val="00A0189B"/>
    <w:rsid w:val="00A04780"/>
    <w:rsid w:val="00A04EE4"/>
    <w:rsid w:val="00A13059"/>
    <w:rsid w:val="00A15C8E"/>
    <w:rsid w:val="00A21B74"/>
    <w:rsid w:val="00A222AF"/>
    <w:rsid w:val="00A22A94"/>
    <w:rsid w:val="00A239A6"/>
    <w:rsid w:val="00A24868"/>
    <w:rsid w:val="00A31270"/>
    <w:rsid w:val="00A4118B"/>
    <w:rsid w:val="00A415D9"/>
    <w:rsid w:val="00A46D3F"/>
    <w:rsid w:val="00A51281"/>
    <w:rsid w:val="00A518AE"/>
    <w:rsid w:val="00A527DC"/>
    <w:rsid w:val="00A529E8"/>
    <w:rsid w:val="00A608DD"/>
    <w:rsid w:val="00A61D54"/>
    <w:rsid w:val="00A636B3"/>
    <w:rsid w:val="00A63EC7"/>
    <w:rsid w:val="00A642A5"/>
    <w:rsid w:val="00A66536"/>
    <w:rsid w:val="00A732C8"/>
    <w:rsid w:val="00A83A99"/>
    <w:rsid w:val="00A86AFD"/>
    <w:rsid w:val="00A87898"/>
    <w:rsid w:val="00A909B3"/>
    <w:rsid w:val="00A90DBB"/>
    <w:rsid w:val="00A93B78"/>
    <w:rsid w:val="00A953D4"/>
    <w:rsid w:val="00A959F0"/>
    <w:rsid w:val="00AA08A9"/>
    <w:rsid w:val="00AA3C9D"/>
    <w:rsid w:val="00AA621A"/>
    <w:rsid w:val="00AB7351"/>
    <w:rsid w:val="00AC0B08"/>
    <w:rsid w:val="00AC4D17"/>
    <w:rsid w:val="00AC6668"/>
    <w:rsid w:val="00AC6F75"/>
    <w:rsid w:val="00AC6FB9"/>
    <w:rsid w:val="00AC7A83"/>
    <w:rsid w:val="00AD1F22"/>
    <w:rsid w:val="00AD5C0A"/>
    <w:rsid w:val="00AE17F1"/>
    <w:rsid w:val="00AE1D4E"/>
    <w:rsid w:val="00AE1FC0"/>
    <w:rsid w:val="00AF1698"/>
    <w:rsid w:val="00AF1FA6"/>
    <w:rsid w:val="00AF5945"/>
    <w:rsid w:val="00B06063"/>
    <w:rsid w:val="00B133EB"/>
    <w:rsid w:val="00B1697A"/>
    <w:rsid w:val="00B23445"/>
    <w:rsid w:val="00B3642B"/>
    <w:rsid w:val="00B40F78"/>
    <w:rsid w:val="00B41477"/>
    <w:rsid w:val="00B4372B"/>
    <w:rsid w:val="00B4531B"/>
    <w:rsid w:val="00B504B3"/>
    <w:rsid w:val="00B53C6E"/>
    <w:rsid w:val="00B6169F"/>
    <w:rsid w:val="00B628B4"/>
    <w:rsid w:val="00B62A8C"/>
    <w:rsid w:val="00B71379"/>
    <w:rsid w:val="00B72E42"/>
    <w:rsid w:val="00B730B6"/>
    <w:rsid w:val="00B74A69"/>
    <w:rsid w:val="00B82AE1"/>
    <w:rsid w:val="00B838C6"/>
    <w:rsid w:val="00B83CB1"/>
    <w:rsid w:val="00B859D4"/>
    <w:rsid w:val="00B85A68"/>
    <w:rsid w:val="00B86C68"/>
    <w:rsid w:val="00B91403"/>
    <w:rsid w:val="00B920C5"/>
    <w:rsid w:val="00B92CAA"/>
    <w:rsid w:val="00B94F11"/>
    <w:rsid w:val="00B960BE"/>
    <w:rsid w:val="00BA147E"/>
    <w:rsid w:val="00BA45A6"/>
    <w:rsid w:val="00BB0734"/>
    <w:rsid w:val="00BB3106"/>
    <w:rsid w:val="00BB59DC"/>
    <w:rsid w:val="00BC4077"/>
    <w:rsid w:val="00BC4565"/>
    <w:rsid w:val="00BC4D91"/>
    <w:rsid w:val="00BC7CB1"/>
    <w:rsid w:val="00BD434C"/>
    <w:rsid w:val="00BD4A31"/>
    <w:rsid w:val="00BE2DA6"/>
    <w:rsid w:val="00BE3B85"/>
    <w:rsid w:val="00BE60F1"/>
    <w:rsid w:val="00BF1C3C"/>
    <w:rsid w:val="00BF329D"/>
    <w:rsid w:val="00BF56DD"/>
    <w:rsid w:val="00BF58E6"/>
    <w:rsid w:val="00BF78B5"/>
    <w:rsid w:val="00C03381"/>
    <w:rsid w:val="00C03FCD"/>
    <w:rsid w:val="00C068F4"/>
    <w:rsid w:val="00C14109"/>
    <w:rsid w:val="00C15B9B"/>
    <w:rsid w:val="00C171D7"/>
    <w:rsid w:val="00C17464"/>
    <w:rsid w:val="00C17552"/>
    <w:rsid w:val="00C1767A"/>
    <w:rsid w:val="00C20ED0"/>
    <w:rsid w:val="00C22F27"/>
    <w:rsid w:val="00C24628"/>
    <w:rsid w:val="00C252AB"/>
    <w:rsid w:val="00C25E3F"/>
    <w:rsid w:val="00C3654C"/>
    <w:rsid w:val="00C3682E"/>
    <w:rsid w:val="00C36A32"/>
    <w:rsid w:val="00C36DEC"/>
    <w:rsid w:val="00C36FB2"/>
    <w:rsid w:val="00C40072"/>
    <w:rsid w:val="00C466EB"/>
    <w:rsid w:val="00C47FAB"/>
    <w:rsid w:val="00C5246F"/>
    <w:rsid w:val="00C52673"/>
    <w:rsid w:val="00C52E6A"/>
    <w:rsid w:val="00C53966"/>
    <w:rsid w:val="00C53AC7"/>
    <w:rsid w:val="00C548C1"/>
    <w:rsid w:val="00C549FF"/>
    <w:rsid w:val="00C54D2D"/>
    <w:rsid w:val="00C55224"/>
    <w:rsid w:val="00C563A9"/>
    <w:rsid w:val="00C5688E"/>
    <w:rsid w:val="00C604E8"/>
    <w:rsid w:val="00C60697"/>
    <w:rsid w:val="00C62DF7"/>
    <w:rsid w:val="00C64845"/>
    <w:rsid w:val="00C751D2"/>
    <w:rsid w:val="00C76B0D"/>
    <w:rsid w:val="00C80002"/>
    <w:rsid w:val="00C804C9"/>
    <w:rsid w:val="00C82D72"/>
    <w:rsid w:val="00C85D61"/>
    <w:rsid w:val="00C922DE"/>
    <w:rsid w:val="00C924B1"/>
    <w:rsid w:val="00C94172"/>
    <w:rsid w:val="00C949DA"/>
    <w:rsid w:val="00C949E4"/>
    <w:rsid w:val="00C962DC"/>
    <w:rsid w:val="00CA21E0"/>
    <w:rsid w:val="00CA4EB3"/>
    <w:rsid w:val="00CA5923"/>
    <w:rsid w:val="00CA7332"/>
    <w:rsid w:val="00CB1BC8"/>
    <w:rsid w:val="00CB21A4"/>
    <w:rsid w:val="00CB2C14"/>
    <w:rsid w:val="00CB30A6"/>
    <w:rsid w:val="00CB5A15"/>
    <w:rsid w:val="00CB5B1F"/>
    <w:rsid w:val="00CC0E27"/>
    <w:rsid w:val="00CC102E"/>
    <w:rsid w:val="00CC226E"/>
    <w:rsid w:val="00CC74A2"/>
    <w:rsid w:val="00CD10C4"/>
    <w:rsid w:val="00CF0BE2"/>
    <w:rsid w:val="00CF4ABA"/>
    <w:rsid w:val="00CF603A"/>
    <w:rsid w:val="00CF657E"/>
    <w:rsid w:val="00D0094A"/>
    <w:rsid w:val="00D013CE"/>
    <w:rsid w:val="00D029CC"/>
    <w:rsid w:val="00D02FEB"/>
    <w:rsid w:val="00D03499"/>
    <w:rsid w:val="00D04711"/>
    <w:rsid w:val="00D108B7"/>
    <w:rsid w:val="00D13E24"/>
    <w:rsid w:val="00D14F46"/>
    <w:rsid w:val="00D17555"/>
    <w:rsid w:val="00D20C42"/>
    <w:rsid w:val="00D21751"/>
    <w:rsid w:val="00D25FC1"/>
    <w:rsid w:val="00D27737"/>
    <w:rsid w:val="00D3188A"/>
    <w:rsid w:val="00D33B96"/>
    <w:rsid w:val="00D33C34"/>
    <w:rsid w:val="00D33D6C"/>
    <w:rsid w:val="00D35432"/>
    <w:rsid w:val="00D362A7"/>
    <w:rsid w:val="00D46035"/>
    <w:rsid w:val="00D50F02"/>
    <w:rsid w:val="00D52DFC"/>
    <w:rsid w:val="00D542EF"/>
    <w:rsid w:val="00D6131D"/>
    <w:rsid w:val="00D62DF0"/>
    <w:rsid w:val="00D67AE0"/>
    <w:rsid w:val="00D73BF6"/>
    <w:rsid w:val="00D81BF4"/>
    <w:rsid w:val="00D81FEC"/>
    <w:rsid w:val="00D82CAB"/>
    <w:rsid w:val="00D860E6"/>
    <w:rsid w:val="00D876EA"/>
    <w:rsid w:val="00DA09AA"/>
    <w:rsid w:val="00DA2DE9"/>
    <w:rsid w:val="00DA33A3"/>
    <w:rsid w:val="00DA4CBC"/>
    <w:rsid w:val="00DA772E"/>
    <w:rsid w:val="00DA7AD1"/>
    <w:rsid w:val="00DA7CA3"/>
    <w:rsid w:val="00DB233C"/>
    <w:rsid w:val="00DC1FB1"/>
    <w:rsid w:val="00DC29FF"/>
    <w:rsid w:val="00DC3D81"/>
    <w:rsid w:val="00DC6F21"/>
    <w:rsid w:val="00DD1B28"/>
    <w:rsid w:val="00DE1FAE"/>
    <w:rsid w:val="00DE2166"/>
    <w:rsid w:val="00DE21E9"/>
    <w:rsid w:val="00DE2F3F"/>
    <w:rsid w:val="00DE36EC"/>
    <w:rsid w:val="00DE3747"/>
    <w:rsid w:val="00DE3E62"/>
    <w:rsid w:val="00DE72FE"/>
    <w:rsid w:val="00DE74CA"/>
    <w:rsid w:val="00DF5BFD"/>
    <w:rsid w:val="00DF5EB4"/>
    <w:rsid w:val="00DF61E0"/>
    <w:rsid w:val="00DF7273"/>
    <w:rsid w:val="00E03D78"/>
    <w:rsid w:val="00E06DC1"/>
    <w:rsid w:val="00E152F6"/>
    <w:rsid w:val="00E21677"/>
    <w:rsid w:val="00E21A48"/>
    <w:rsid w:val="00E2229C"/>
    <w:rsid w:val="00E255DF"/>
    <w:rsid w:val="00E51264"/>
    <w:rsid w:val="00E51305"/>
    <w:rsid w:val="00E56A99"/>
    <w:rsid w:val="00E571B5"/>
    <w:rsid w:val="00E57DBF"/>
    <w:rsid w:val="00E60698"/>
    <w:rsid w:val="00E62A14"/>
    <w:rsid w:val="00E64738"/>
    <w:rsid w:val="00E71E45"/>
    <w:rsid w:val="00E76867"/>
    <w:rsid w:val="00E829BE"/>
    <w:rsid w:val="00E82E16"/>
    <w:rsid w:val="00E87A67"/>
    <w:rsid w:val="00E87D0E"/>
    <w:rsid w:val="00E9235A"/>
    <w:rsid w:val="00E95A90"/>
    <w:rsid w:val="00E95F32"/>
    <w:rsid w:val="00E96953"/>
    <w:rsid w:val="00E97190"/>
    <w:rsid w:val="00E97411"/>
    <w:rsid w:val="00EA0D47"/>
    <w:rsid w:val="00EA2E8C"/>
    <w:rsid w:val="00EA2F11"/>
    <w:rsid w:val="00EB01E4"/>
    <w:rsid w:val="00EB4957"/>
    <w:rsid w:val="00EB628C"/>
    <w:rsid w:val="00EB6BCC"/>
    <w:rsid w:val="00EB6C1B"/>
    <w:rsid w:val="00EB7488"/>
    <w:rsid w:val="00EC026C"/>
    <w:rsid w:val="00EC1C42"/>
    <w:rsid w:val="00EC316E"/>
    <w:rsid w:val="00EC5BFB"/>
    <w:rsid w:val="00ED4E90"/>
    <w:rsid w:val="00ED6A80"/>
    <w:rsid w:val="00ED7690"/>
    <w:rsid w:val="00ED7C09"/>
    <w:rsid w:val="00EE045F"/>
    <w:rsid w:val="00EE50A8"/>
    <w:rsid w:val="00EF35D6"/>
    <w:rsid w:val="00EF4D0D"/>
    <w:rsid w:val="00EF6E2A"/>
    <w:rsid w:val="00EF7429"/>
    <w:rsid w:val="00EF78C4"/>
    <w:rsid w:val="00F01F6A"/>
    <w:rsid w:val="00F06875"/>
    <w:rsid w:val="00F07DD5"/>
    <w:rsid w:val="00F158EE"/>
    <w:rsid w:val="00F25598"/>
    <w:rsid w:val="00F25AB1"/>
    <w:rsid w:val="00F313A7"/>
    <w:rsid w:val="00F35E34"/>
    <w:rsid w:val="00F37CD4"/>
    <w:rsid w:val="00F40963"/>
    <w:rsid w:val="00F44B0D"/>
    <w:rsid w:val="00F522B1"/>
    <w:rsid w:val="00F5336C"/>
    <w:rsid w:val="00F5351E"/>
    <w:rsid w:val="00F574DA"/>
    <w:rsid w:val="00F601E9"/>
    <w:rsid w:val="00F61BE0"/>
    <w:rsid w:val="00F61DD5"/>
    <w:rsid w:val="00F648E8"/>
    <w:rsid w:val="00F64C3E"/>
    <w:rsid w:val="00F717C8"/>
    <w:rsid w:val="00F77427"/>
    <w:rsid w:val="00F85E1F"/>
    <w:rsid w:val="00F86EA6"/>
    <w:rsid w:val="00F87268"/>
    <w:rsid w:val="00F87A00"/>
    <w:rsid w:val="00F953DB"/>
    <w:rsid w:val="00FA1F80"/>
    <w:rsid w:val="00FA4450"/>
    <w:rsid w:val="00FA457C"/>
    <w:rsid w:val="00FA75BF"/>
    <w:rsid w:val="00FA7726"/>
    <w:rsid w:val="00FB2330"/>
    <w:rsid w:val="00FB255F"/>
    <w:rsid w:val="00FB6F33"/>
    <w:rsid w:val="00FC1D13"/>
    <w:rsid w:val="00FC4B38"/>
    <w:rsid w:val="00FC6382"/>
    <w:rsid w:val="00FD17D5"/>
    <w:rsid w:val="00FD2512"/>
    <w:rsid w:val="00FD303A"/>
    <w:rsid w:val="00FD4C90"/>
    <w:rsid w:val="00FE55DF"/>
    <w:rsid w:val="00FE60D1"/>
    <w:rsid w:val="00FF023A"/>
    <w:rsid w:val="00FF05B5"/>
    <w:rsid w:val="00FF0FDF"/>
    <w:rsid w:val="00FF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5A81"/>
  <w15:chartTrackingRefBased/>
  <w15:docId w15:val="{1CC0AEED-ED36-404A-960D-5E4A7F5D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B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F4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14F46"/>
  </w:style>
  <w:style w:type="paragraph" w:styleId="Footer">
    <w:name w:val="footer"/>
    <w:basedOn w:val="Normal"/>
    <w:link w:val="FooterChar"/>
    <w:uiPriority w:val="99"/>
    <w:unhideWhenUsed/>
    <w:rsid w:val="00D14F4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14F46"/>
  </w:style>
  <w:style w:type="character" w:styleId="Hyperlink">
    <w:name w:val="Hyperlink"/>
    <w:uiPriority w:val="99"/>
    <w:rsid w:val="00C922DE"/>
    <w:rPr>
      <w:color w:val="0000FF"/>
      <w:u w:val="single"/>
    </w:rPr>
  </w:style>
  <w:style w:type="paragraph" w:styleId="NormalWeb">
    <w:name w:val="Normal (Web)"/>
    <w:basedOn w:val="Normal"/>
    <w:unhideWhenUsed/>
    <w:rsid w:val="00C922DE"/>
    <w:pPr>
      <w:spacing w:before="100" w:beforeAutospacing="1" w:after="100" w:afterAutospacing="1"/>
    </w:pPr>
    <w:rPr>
      <w:rFonts w:eastAsia="DengXian"/>
    </w:rPr>
  </w:style>
  <w:style w:type="character" w:styleId="Strong">
    <w:name w:val="Strong"/>
    <w:uiPriority w:val="22"/>
    <w:qFormat/>
    <w:rsid w:val="00C922DE"/>
    <w:rPr>
      <w:b/>
      <w:bCs/>
    </w:rPr>
  </w:style>
  <w:style w:type="character" w:styleId="UnresolvedMention">
    <w:name w:val="Unresolved Mention"/>
    <w:basedOn w:val="DefaultParagraphFont"/>
    <w:uiPriority w:val="99"/>
    <w:semiHidden/>
    <w:unhideWhenUsed/>
    <w:rsid w:val="00C922DE"/>
    <w:rPr>
      <w:color w:val="605E5C"/>
      <w:shd w:val="clear" w:color="auto" w:fill="E1DFDD"/>
    </w:rPr>
  </w:style>
  <w:style w:type="character" w:styleId="Emphasis">
    <w:name w:val="Emphasis"/>
    <w:uiPriority w:val="20"/>
    <w:qFormat/>
    <w:rsid w:val="002A6B77"/>
    <w:rPr>
      <w:i/>
      <w:iCs/>
    </w:rPr>
  </w:style>
  <w:style w:type="paragraph" w:styleId="ListParagraph">
    <w:name w:val="List Paragraph"/>
    <w:basedOn w:val="Normal"/>
    <w:uiPriority w:val="34"/>
    <w:qFormat/>
    <w:rsid w:val="00172839"/>
    <w:pPr>
      <w:ind w:left="720"/>
      <w:contextualSpacing/>
    </w:pPr>
  </w:style>
  <w:style w:type="character" w:customStyle="1" w:styleId="EmailStyle25">
    <w:name w:val="EmailStyle25"/>
    <w:semiHidden/>
    <w:rsid w:val="00AF1698"/>
    <w:rPr>
      <w:rFonts w:ascii="Arial" w:hAnsi="Arial" w:cs="Arial"/>
      <w:color w:val="auto"/>
      <w:sz w:val="20"/>
      <w:szCs w:val="20"/>
    </w:rPr>
  </w:style>
  <w:style w:type="paragraph" w:styleId="BodyText">
    <w:name w:val="Body Text"/>
    <w:basedOn w:val="Normal"/>
    <w:link w:val="BodyTextChar"/>
    <w:uiPriority w:val="1"/>
    <w:qFormat/>
    <w:rsid w:val="00661EC3"/>
    <w:pPr>
      <w:widowControl w:val="0"/>
      <w:autoSpaceDE w:val="0"/>
      <w:autoSpaceDN w:val="0"/>
    </w:pPr>
    <w:rPr>
      <w:rFonts w:ascii="Arial" w:eastAsia="Arial" w:hAnsi="Arial" w:cs="Arial"/>
      <w:lang w:bidi="en-US"/>
    </w:rPr>
  </w:style>
  <w:style w:type="character" w:customStyle="1" w:styleId="BodyTextChar">
    <w:name w:val="Body Text Char"/>
    <w:basedOn w:val="DefaultParagraphFont"/>
    <w:link w:val="BodyText"/>
    <w:uiPriority w:val="1"/>
    <w:rsid w:val="00661EC3"/>
    <w:rPr>
      <w:rFonts w:ascii="Arial" w:eastAsia="Arial" w:hAnsi="Arial" w:cs="Arial"/>
      <w:sz w:val="24"/>
      <w:szCs w:val="24"/>
      <w:lang w:bidi="en-US"/>
    </w:rPr>
  </w:style>
  <w:style w:type="paragraph" w:customStyle="1" w:styleId="TableParagraph">
    <w:name w:val="Table Paragraph"/>
    <w:basedOn w:val="Normal"/>
    <w:uiPriority w:val="1"/>
    <w:qFormat/>
    <w:rsid w:val="00661EC3"/>
    <w:pPr>
      <w:widowControl w:val="0"/>
      <w:autoSpaceDE w:val="0"/>
      <w:autoSpaceDN w:val="0"/>
      <w:ind w:left="200"/>
    </w:pPr>
    <w:rPr>
      <w:rFonts w:ascii="Arial" w:eastAsia="Arial" w:hAnsi="Arial" w:cs="Arial"/>
      <w:sz w:val="22"/>
      <w:szCs w:val="22"/>
      <w:lang w:bidi="en-US"/>
    </w:rPr>
  </w:style>
  <w:style w:type="table" w:styleId="PlainTable4">
    <w:name w:val="Plain Table 4"/>
    <w:basedOn w:val="TableNormal"/>
    <w:uiPriority w:val="44"/>
    <w:rsid w:val="007B7DD9"/>
    <w:pPr>
      <w:spacing w:after="0" w:line="240" w:lineRule="auto"/>
    </w:pPr>
    <w:rPr>
      <w:rFonts w:ascii="Gill Sans MT" w:eastAsia="Times New Roman" w:hAnsi="Gill Sans MT"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A909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9B3"/>
    <w:rPr>
      <w:rFonts w:asciiTheme="majorHAnsi" w:eastAsiaTheme="majorEastAsia" w:hAnsiTheme="majorHAnsi" w:cstheme="majorBidi"/>
      <w:spacing w:val="-10"/>
      <w:kern w:val="28"/>
      <w:sz w:val="56"/>
      <w:szCs w:val="56"/>
    </w:rPr>
  </w:style>
  <w:style w:type="paragraph" w:styleId="Revision">
    <w:name w:val="Revision"/>
    <w:hidden/>
    <w:uiPriority w:val="99"/>
    <w:semiHidden/>
    <w:rsid w:val="004906E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16FFA"/>
    <w:rPr>
      <w:sz w:val="16"/>
      <w:szCs w:val="16"/>
    </w:rPr>
  </w:style>
  <w:style w:type="paragraph" w:styleId="CommentText">
    <w:name w:val="annotation text"/>
    <w:basedOn w:val="Normal"/>
    <w:link w:val="CommentTextChar"/>
    <w:uiPriority w:val="99"/>
    <w:unhideWhenUsed/>
    <w:rsid w:val="00716FFA"/>
    <w:rPr>
      <w:sz w:val="20"/>
      <w:szCs w:val="20"/>
    </w:rPr>
  </w:style>
  <w:style w:type="character" w:customStyle="1" w:styleId="CommentTextChar">
    <w:name w:val="Comment Text Char"/>
    <w:basedOn w:val="DefaultParagraphFont"/>
    <w:link w:val="CommentText"/>
    <w:uiPriority w:val="99"/>
    <w:rsid w:val="00716F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6FFA"/>
    <w:rPr>
      <w:b/>
      <w:bCs/>
    </w:rPr>
  </w:style>
  <w:style w:type="character" w:customStyle="1" w:styleId="CommentSubjectChar">
    <w:name w:val="Comment Subject Char"/>
    <w:basedOn w:val="CommentTextChar"/>
    <w:link w:val="CommentSubject"/>
    <w:uiPriority w:val="99"/>
    <w:semiHidden/>
    <w:rsid w:val="00716FF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t.nz/publications/community-water-fluoridation-an-evidence-review" TargetMode="External"/><Relationship Id="rId18" Type="http://schemas.openxmlformats.org/officeDocument/2006/relationships/image" Target="cid:image002.png@01DC8668.C6369960" TargetMode="External"/><Relationship Id="rId26" Type="http://schemas.openxmlformats.org/officeDocument/2006/relationships/hyperlink" Target="https://ntp.niehs.nih.gov/sites/default/files/ntp/ohat/pubs/handbookmarch2019_508.pdf" TargetMode="External"/><Relationship Id="rId3" Type="http://schemas.openxmlformats.org/officeDocument/2006/relationships/customXml" Target="../customXml/item3.xml"/><Relationship Id="rId21" Type="http://schemas.openxmlformats.org/officeDocument/2006/relationships/hyperlink" Target="https://doi.org/10.1016/j.envres.2021.111315"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anada.ca/en/health-canada/services/environmental-workplace-health/reports-publications/water-quality/expert-panel-meeting-effects-fluoride-drinking-summary.html" TargetMode="External"/><Relationship Id="rId17" Type="http://schemas.openxmlformats.org/officeDocument/2006/relationships/image" Target="media/image3.png"/><Relationship Id="rId25" Type="http://schemas.openxmlformats.org/officeDocument/2006/relationships/hyperlink" Target="https://www.asdwa.org/wp-content/uploads/2019/10/draft_fluoride_monograph_20190906_5081.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echa.europa.eu/documents/10162/2324906/clp_part3_en.pdf/42e0397a-73f2-0583-958f-3830928e1604?t=1730718832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epa.gov/risk/guidelines-neurotoxicity-risk-assessment"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mcayinde@iadr.org" TargetMode="External"/><Relationship Id="rId23" Type="http://schemas.openxmlformats.org/officeDocument/2006/relationships/hyperlink" Target="https://www.cdc.gov/fluoridation/about/statement-on-the-evidence-supporting-the-safety-and-effectiveness-of-community-water-fluoridation.html" TargetMode="External"/><Relationship Id="rId28" Type="http://schemas.openxmlformats.org/officeDocument/2006/relationships/hyperlink" Target="https://iris.who.int/server/api/core/bitstreams/69c17edd-ee26-425b-9d34-33799377e886/content" TargetMode="External"/><Relationship Id="rId10" Type="http://schemas.openxmlformats.org/officeDocument/2006/relationships/hyperlink" Target="https://echa.europa.eu/harmonised-classification-and-labelling-consultation/-/substance-rev/80601/term" TargetMode="External"/><Relationship Id="rId19" Type="http://schemas.openxmlformats.org/officeDocument/2006/relationships/hyperlink" Target="https://hesiglobal.org/wp-content/uploads/sites/11/2017/10/ECHA-Persepctive-on-CLP-Cat-R_Kait-Hellsten.pdf"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medsci.ac.uk/file-download/academy-water-fluoridation-report-2025" TargetMode="External"/><Relationship Id="rId22" Type="http://schemas.openxmlformats.org/officeDocument/2006/relationships/hyperlink" Target="https://www.oecd.org/content/dam/oecd/en/publications/reports/2019/07/adverse-outcome-pathway-on-inhibition-of-thyroperoxidase-and-subsequent-adverse-neurodevelopmental-outcomes-in-mammals_48dadb13/ea5aa069-en.pdf?utm_source=chatgpt.com" TargetMode="External"/><Relationship Id="rId27" Type="http://schemas.openxmlformats.org/officeDocument/2006/relationships/hyperlink" Target="https://www.who.int/docs/default-source/wash-documents/wash-chemicals/fluoride-background-document.pdf" TargetMode="External"/><Relationship Id="rId30" Type="http://schemas.openxmlformats.org/officeDocument/2006/relationships/footer" Target="footer1.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2" Type="http://schemas.openxmlformats.org/officeDocument/2006/relationships/hyperlink" Target="http://www.iadr.org" TargetMode="External"/><Relationship Id="rId1" Type="http://schemas.openxmlformats.org/officeDocument/2006/relationships/hyperlink" Target="http://www.iadr.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41DCCD8DF26E4FB084A8B0EC87B308" ma:contentTypeVersion="20" ma:contentTypeDescription="Create a new document." ma:contentTypeScope="" ma:versionID="b253f9c05ece6e326a0ac68fd571857c">
  <xsd:schema xmlns:xsd="http://www.w3.org/2001/XMLSchema" xmlns:xs="http://www.w3.org/2001/XMLSchema" xmlns:p="http://schemas.microsoft.com/office/2006/metadata/properties" xmlns:ns2="5070aea2-17f6-4440-970e-814d7ac414f2" xmlns:ns3="996b4a3d-442b-41c7-be1d-abd3b7408d6c" targetNamespace="http://schemas.microsoft.com/office/2006/metadata/properties" ma:root="true" ma:fieldsID="d68c090f7022f7b67eba663331250004" ns2:_="" ns3:_="">
    <xsd:import namespace="5070aea2-17f6-4440-970e-814d7ac414f2"/>
    <xsd:import namespace="996b4a3d-442b-41c7-be1d-abd3b7408d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ChristopherFox"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0aea2-17f6-4440-970e-814d7ac41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62ab20-24cc-4213-92c9-15c88d45ddd7" ma:termSetId="09814cd3-568e-fe90-9814-8d621ff8fb84" ma:anchorId="fba54fb3-c3e1-fe81-a776-ca4b69148c4d" ma:open="true" ma:isKeyword="false">
      <xsd:complexType>
        <xsd:sequence>
          <xsd:element ref="pc:Terms" minOccurs="0" maxOccurs="1"/>
        </xsd:sequence>
      </xsd:complexType>
    </xsd:element>
    <xsd:element name="ChristopherFox" ma:index="24" nillable="true" ma:displayName="Christopher Fox" ma:default="1" ma:format="Dropdown" ma:internalName="ChristopherFox">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6b4a3d-442b-41c7-be1d-abd3b7408d6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96e690-9043-427e-b3d2-ac7945ce6285}" ma:internalName="TaxCatchAll" ma:showField="CatchAllData" ma:web="996b4a3d-442b-41c7-be1d-abd3b7408d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70aea2-17f6-4440-970e-814d7ac414f2">
      <Terms xmlns="http://schemas.microsoft.com/office/infopath/2007/PartnerControls"/>
    </lcf76f155ced4ddcb4097134ff3c332f>
    <TaxCatchAll xmlns="996b4a3d-442b-41c7-be1d-abd3b7408d6c" xsi:nil="true"/>
    <ChristopherFox xmlns="5070aea2-17f6-4440-970e-814d7ac414f2">true</ChristopherFox>
  </documentManagement>
</p:properties>
</file>

<file path=customXml/itemProps1.xml><?xml version="1.0" encoding="utf-8"?>
<ds:datastoreItem xmlns:ds="http://schemas.openxmlformats.org/officeDocument/2006/customXml" ds:itemID="{F2CF733D-C3BA-40E3-9541-958A27AEC9EA}">
  <ds:schemaRefs>
    <ds:schemaRef ds:uri="http://schemas.microsoft.com/sharepoint/v3/contenttype/forms"/>
  </ds:schemaRefs>
</ds:datastoreItem>
</file>

<file path=customXml/itemProps2.xml><?xml version="1.0" encoding="utf-8"?>
<ds:datastoreItem xmlns:ds="http://schemas.openxmlformats.org/officeDocument/2006/customXml" ds:itemID="{CBED8F61-823A-49FB-92EC-980B432B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0aea2-17f6-4440-970e-814d7ac414f2"/>
    <ds:schemaRef ds:uri="996b4a3d-442b-41c7-be1d-abd3b7408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A9C3A-B6B1-4236-A07A-71AD5FEB7922}">
  <ds:schemaRefs>
    <ds:schemaRef ds:uri="http://schemas.microsoft.com/office/2006/metadata/properties"/>
    <ds:schemaRef ds:uri="http://schemas.microsoft.com/office/infopath/2007/PartnerControls"/>
    <ds:schemaRef ds:uri="5070aea2-17f6-4440-970e-814d7ac414f2"/>
    <ds:schemaRef ds:uri="996b4a3d-442b-41c7-be1d-abd3b7408d6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7107</Words>
  <Characters>40514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Flow</dc:creator>
  <cp:keywords/>
  <dc:description/>
  <cp:lastModifiedBy>Taylor Malloy</cp:lastModifiedBy>
  <cp:revision>2</cp:revision>
  <dcterms:created xsi:type="dcterms:W3CDTF">2026-02-02T19:11:00Z</dcterms:created>
  <dcterms:modified xsi:type="dcterms:W3CDTF">2026-02-02T19:11:00Z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0x010100AF41DCCD8DF26E4FB084A8B0EC87B308</vt:lpwstr>
  </property>
  <property fmtid="{D5CDD505-2E9C-101B-9397-08002B2CF9AE}" pid="3" name="Order">
    <vt:r8>239800</vt:r8>
  </property>
  <property fmtid="{D5CDD505-2E9C-101B-9397-08002B2CF9AE}" pid="4" name="MediaServiceImageTags">
    <vt:lpwstr/>
  </property>
  <property fmtid="{D5CDD505-2E9C-101B-9397-08002B2CF9AE}" pid="5" name="GrammarlyDocumentId">
    <vt:lpwstr>fb90d980d4646e279ad51ae219beb4149f8c9e2b8fee3695f23419f06bc834a1</vt:lpwstr>
  </property>
</Properties>
</file>